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23DDA4">
      <w:pPr>
        <w:pStyle w:val="2"/>
        <w:numPr>
          <w:ilvl w:val="0"/>
          <w:numId w:val="0"/>
        </w:numPr>
        <w:bidi w:val="0"/>
        <w:ind w:left="40" w:leftChars="0"/>
        <w:rPr>
          <w:rFonts w:ascii="Times New Roman" w:hAnsi="Times New Roman"/>
          <w:b/>
          <w:bCs/>
          <w:color w:val="auto"/>
          <w:highlight w:val="none"/>
        </w:rPr>
      </w:pPr>
      <w:bookmarkStart w:id="0" w:name="_Toc290626517"/>
      <w:bookmarkStart w:id="1" w:name="_Toc290626688"/>
    </w:p>
    <w:p w14:paraId="2A283A8A">
      <w:pPr>
        <w:keepNext w:val="0"/>
        <w:keepLines w:val="0"/>
        <w:pageBreakBefore w:val="0"/>
        <w:widowControl/>
        <w:kinsoku/>
        <w:wordWrap/>
        <w:overflowPunct w:val="0"/>
        <w:topLinePunct w:val="0"/>
        <w:autoSpaceDE/>
        <w:autoSpaceDN/>
        <w:bidi w:val="0"/>
        <w:adjustRightInd/>
        <w:snapToGrid/>
        <w:spacing w:line="720" w:lineRule="exact"/>
        <w:ind w:firstLine="0" w:firstLineChars="0"/>
        <w:jc w:val="both"/>
        <w:textAlignment w:val="auto"/>
        <w:outlineLvl w:val="9"/>
        <w:rPr>
          <w:rFonts w:ascii="Times New Roman" w:hAnsi="Times New Roman" w:eastAsia="仿宋_GB2312" w:cs="Times New Roman"/>
          <w:color w:val="auto"/>
          <w:spacing w:val="0"/>
          <w:sz w:val="48"/>
          <w:szCs w:val="48"/>
          <w:highlight w:val="none"/>
        </w:rPr>
      </w:pPr>
    </w:p>
    <w:p w14:paraId="339F76A2">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bCs/>
          <w:color w:val="auto"/>
          <w:spacing w:val="0"/>
          <w:sz w:val="48"/>
          <w:szCs w:val="48"/>
          <w:highlight w:val="none"/>
        </w:rPr>
      </w:pPr>
      <w:r>
        <w:rPr>
          <w:rFonts w:hint="eastAsia" w:eastAsia="黑体" w:cs="黑体"/>
          <w:b/>
          <w:bCs/>
          <w:color w:val="auto"/>
          <w:spacing w:val="0"/>
          <w:sz w:val="52"/>
          <w:szCs w:val="52"/>
          <w:highlight w:val="none"/>
          <w:lang w:eastAsia="zh-CN"/>
        </w:rPr>
        <w:t>清远市清城区建筑垃圾污染环境防治工作规划（2024-2030年）</w:t>
      </w:r>
    </w:p>
    <w:p w14:paraId="65C40B7D">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7096B1AB">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hint="default" w:ascii="Times New Roman" w:hAnsi="Times New Roman" w:eastAsia="仿宋_GB2312" w:cs="Times New Roman"/>
          <w:b/>
          <w:color w:val="auto"/>
          <w:spacing w:val="0"/>
          <w:sz w:val="48"/>
          <w:szCs w:val="48"/>
          <w:highlight w:val="none"/>
          <w:lang w:val="en-US" w:eastAsia="zh-CN"/>
        </w:rPr>
      </w:pPr>
      <w:r>
        <w:rPr>
          <w:rFonts w:hint="eastAsia" w:ascii="Times New Roman" w:hAnsi="Times New Roman" w:eastAsia="仿宋_GB2312" w:cs="Times New Roman"/>
          <w:b/>
          <w:color w:val="auto"/>
          <w:spacing w:val="0"/>
          <w:sz w:val="48"/>
          <w:szCs w:val="48"/>
          <w:highlight w:val="none"/>
          <w:lang w:val="en-US" w:eastAsia="zh-CN"/>
        </w:rPr>
        <w:t>征求意见稿</w:t>
      </w:r>
      <w:bookmarkStart w:id="101" w:name="_GoBack"/>
      <w:bookmarkEnd w:id="101"/>
    </w:p>
    <w:p w14:paraId="3353D877">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4CC3D9DE">
      <w:pPr>
        <w:pStyle w:val="23"/>
        <w:keepNext w:val="0"/>
        <w:keepLines w:val="0"/>
        <w:pageBreakBefore w:val="0"/>
        <w:widowControl/>
        <w:kinsoku/>
        <w:wordWrap/>
        <w:overflowPunct w:val="0"/>
        <w:topLinePunct w:val="0"/>
        <w:autoSpaceDE/>
        <w:autoSpaceDN/>
        <w:bidi w:val="0"/>
        <w:adjustRightInd/>
        <w:snapToGrid/>
        <w:spacing w:line="360" w:lineRule="auto"/>
        <w:jc w:val="center"/>
        <w:textAlignment w:val="auto"/>
        <w:outlineLvl w:val="9"/>
        <w:rPr>
          <w:rFonts w:ascii="Times New Roman" w:hAnsi="Times New Roman" w:eastAsia="仿宋_GB2312" w:cs="Times New Roman"/>
          <w:b/>
          <w:color w:val="auto"/>
          <w:spacing w:val="0"/>
          <w:highlight w:val="none"/>
        </w:rPr>
      </w:pPr>
    </w:p>
    <w:p w14:paraId="1DEF477A">
      <w:pPr>
        <w:pStyle w:val="23"/>
        <w:keepNext w:val="0"/>
        <w:keepLines w:val="0"/>
        <w:pageBreakBefore w:val="0"/>
        <w:widowControl/>
        <w:kinsoku/>
        <w:wordWrap/>
        <w:overflowPunct w:val="0"/>
        <w:topLinePunct w:val="0"/>
        <w:autoSpaceDE/>
        <w:autoSpaceDN/>
        <w:bidi w:val="0"/>
        <w:adjustRightInd/>
        <w:snapToGrid/>
        <w:spacing w:line="360" w:lineRule="auto"/>
        <w:jc w:val="center"/>
        <w:textAlignment w:val="auto"/>
        <w:outlineLvl w:val="9"/>
        <w:rPr>
          <w:rFonts w:ascii="Times New Roman" w:hAnsi="Times New Roman" w:eastAsia="仿宋_GB2312" w:cs="Times New Roman"/>
          <w:b/>
          <w:color w:val="auto"/>
          <w:spacing w:val="0"/>
          <w:highlight w:val="none"/>
        </w:rPr>
      </w:pPr>
    </w:p>
    <w:p w14:paraId="3192A8E8">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sz w:val="48"/>
          <w:szCs w:val="48"/>
          <w:highlight w:val="none"/>
        </w:rPr>
      </w:pPr>
      <w:r>
        <w:rPr>
          <w:rFonts w:hint="eastAsia" w:ascii="Times New Roman" w:hAnsi="Times New Roman" w:eastAsia="仿宋_GB2312" w:cs="Times New Roman"/>
          <w:b/>
          <w:color w:val="auto"/>
          <w:spacing w:val="0"/>
          <w:sz w:val="48"/>
          <w:szCs w:val="48"/>
          <w:highlight w:val="none"/>
        </w:rPr>
        <w:t>规划文本</w:t>
      </w:r>
    </w:p>
    <w:p w14:paraId="6FC4FE2D">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仿宋_GB2312" w:cs="Times New Roman"/>
          <w:b/>
          <w:color w:val="auto"/>
          <w:spacing w:val="0"/>
          <w:sz w:val="48"/>
          <w:szCs w:val="48"/>
          <w:highlight w:val="none"/>
          <w:lang w:val="en-US" w:eastAsia="zh-CN"/>
        </w:rPr>
      </w:pPr>
    </w:p>
    <w:p w14:paraId="4B88BE41">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仿宋_GB2312" w:cs="Times New Roman"/>
          <w:b/>
          <w:color w:val="auto"/>
          <w:spacing w:val="0"/>
          <w:sz w:val="48"/>
          <w:szCs w:val="48"/>
          <w:highlight w:val="none"/>
          <w:lang w:val="en-US" w:eastAsia="zh-CN"/>
        </w:rPr>
      </w:pPr>
    </w:p>
    <w:p w14:paraId="3C34DB2E">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27BEFD23">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5AA99BCD">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07A1008A">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56200150">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0DAEA361">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74950DEF">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ascii="Times New Roman" w:hAnsi="Times New Roman" w:eastAsia="仿宋_GB2312" w:cs="Times New Roman"/>
          <w:b/>
          <w:color w:val="auto"/>
          <w:spacing w:val="0"/>
          <w:highlight w:val="none"/>
        </w:rPr>
      </w:pPr>
    </w:p>
    <w:p w14:paraId="72DC9490">
      <w:pPr>
        <w:pStyle w:val="23"/>
        <w:keepNext w:val="0"/>
        <w:keepLines w:val="0"/>
        <w:pageBreakBefore w:val="0"/>
        <w:widowControl/>
        <w:kinsoku/>
        <w:wordWrap/>
        <w:overflowPunct w:val="0"/>
        <w:topLinePunct w:val="0"/>
        <w:autoSpaceDE/>
        <w:autoSpaceDN/>
        <w:bidi w:val="0"/>
        <w:adjustRightInd/>
        <w:snapToGrid/>
        <w:spacing w:line="360" w:lineRule="auto"/>
        <w:jc w:val="center"/>
        <w:textAlignment w:val="auto"/>
        <w:outlineLvl w:val="9"/>
        <w:rPr>
          <w:rFonts w:ascii="Times New Roman" w:hAnsi="Times New Roman" w:eastAsia="仿宋_GB2312"/>
          <w:color w:val="auto"/>
          <w:spacing w:val="0"/>
          <w:highlight w:val="none"/>
        </w:rPr>
      </w:pPr>
    </w:p>
    <w:p w14:paraId="0FA22FF8">
      <w:pPr>
        <w:keepNext w:val="0"/>
        <w:keepLines w:val="0"/>
        <w:pageBreakBefore w:val="0"/>
        <w:widowControl/>
        <w:tabs>
          <w:tab w:val="left" w:pos="3525"/>
        </w:tabs>
        <w:kinsoku/>
        <w:wordWrap/>
        <w:overflowPunct w:val="0"/>
        <w:topLinePunct w:val="0"/>
        <w:autoSpaceDE/>
        <w:autoSpaceDN/>
        <w:bidi w:val="0"/>
        <w:adjustRightInd/>
        <w:snapToGrid/>
        <w:spacing w:line="360" w:lineRule="auto"/>
        <w:ind w:leftChars="400" w:firstLine="640"/>
        <w:jc w:val="left"/>
        <w:textAlignment w:val="auto"/>
        <w:outlineLvl w:val="9"/>
        <w:rPr>
          <w:rFonts w:hint="eastAsia" w:ascii="Times New Roman" w:hAnsi="Times New Roman" w:eastAsia="黑体" w:cs="黑体"/>
          <w:b/>
          <w:bCs/>
          <w:color w:val="auto"/>
          <w:spacing w:val="0"/>
          <w:sz w:val="32"/>
          <w:szCs w:val="52"/>
          <w:highlight w:val="none"/>
        </w:rPr>
      </w:pPr>
      <w:r>
        <w:rPr>
          <w:rFonts w:hint="eastAsia" w:ascii="Times New Roman" w:hAnsi="Times New Roman" w:eastAsia="黑体" w:cs="黑体"/>
          <w:b/>
          <w:bCs/>
          <w:color w:val="auto"/>
          <w:spacing w:val="0"/>
          <w:sz w:val="32"/>
          <w:szCs w:val="52"/>
          <w:highlight w:val="none"/>
        </w:rPr>
        <w:t>主持单位：</w:t>
      </w:r>
      <w:r>
        <w:rPr>
          <w:rFonts w:hint="eastAsia" w:ascii="Times New Roman" w:hAnsi="Times New Roman" w:eastAsia="黑体" w:cs="黑体"/>
          <w:b/>
          <w:bCs/>
          <w:color w:val="auto"/>
          <w:spacing w:val="0"/>
          <w:sz w:val="32"/>
          <w:szCs w:val="52"/>
          <w:highlight w:val="none"/>
          <w:lang w:eastAsia="zh-CN"/>
        </w:rPr>
        <w:t>清远市清城区城市管理和综合执法局</w:t>
      </w:r>
    </w:p>
    <w:p w14:paraId="4B9A2920">
      <w:pPr>
        <w:keepNext w:val="0"/>
        <w:keepLines w:val="0"/>
        <w:pageBreakBefore w:val="0"/>
        <w:widowControl/>
        <w:tabs>
          <w:tab w:val="left" w:pos="3525"/>
        </w:tabs>
        <w:kinsoku/>
        <w:wordWrap/>
        <w:overflowPunct w:val="0"/>
        <w:topLinePunct w:val="0"/>
        <w:autoSpaceDE/>
        <w:autoSpaceDN/>
        <w:bidi w:val="0"/>
        <w:adjustRightInd/>
        <w:snapToGrid/>
        <w:spacing w:line="360" w:lineRule="auto"/>
        <w:ind w:leftChars="400" w:firstLine="640"/>
        <w:jc w:val="left"/>
        <w:textAlignment w:val="auto"/>
        <w:outlineLvl w:val="9"/>
        <w:rPr>
          <w:rFonts w:hint="eastAsia" w:ascii="Times New Roman" w:hAnsi="Times New Roman" w:eastAsia="黑体" w:cs="黑体"/>
          <w:b/>
          <w:bCs/>
          <w:color w:val="auto"/>
          <w:spacing w:val="0"/>
          <w:sz w:val="32"/>
          <w:szCs w:val="52"/>
          <w:highlight w:val="none"/>
        </w:rPr>
      </w:pPr>
      <w:bookmarkStart w:id="2" w:name="_Toc17069"/>
      <w:r>
        <w:rPr>
          <w:rFonts w:hint="eastAsia" w:ascii="Times New Roman" w:hAnsi="Times New Roman" w:eastAsia="黑体" w:cs="黑体"/>
          <w:b/>
          <w:bCs/>
          <w:color w:val="auto"/>
          <w:spacing w:val="0"/>
          <w:sz w:val="32"/>
          <w:szCs w:val="52"/>
          <w:highlight w:val="none"/>
        </w:rPr>
        <w:t>承编单位：</w:t>
      </w:r>
      <w:bookmarkEnd w:id="2"/>
      <w:r>
        <w:rPr>
          <w:rFonts w:hint="eastAsia" w:ascii="Times New Roman" w:hAnsi="Times New Roman" w:eastAsia="黑体" w:cs="黑体"/>
          <w:b/>
          <w:bCs/>
          <w:color w:val="auto"/>
          <w:spacing w:val="0"/>
          <w:sz w:val="32"/>
          <w:szCs w:val="52"/>
          <w:highlight w:val="none"/>
        </w:rPr>
        <w:t>清远市城乡规划设计院有限公司</w:t>
      </w:r>
    </w:p>
    <w:p w14:paraId="4AE4723B">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黑体" w:cs="黑体"/>
          <w:b/>
          <w:bCs/>
          <w:color w:val="auto"/>
          <w:spacing w:val="0"/>
          <w:sz w:val="32"/>
          <w:szCs w:val="52"/>
          <w:highlight w:val="none"/>
        </w:rPr>
      </w:pPr>
      <w:r>
        <w:rPr>
          <w:rFonts w:hint="eastAsia" w:ascii="Times New Roman" w:hAnsi="Times New Roman" w:eastAsia="黑体" w:cs="黑体"/>
          <w:b/>
          <w:bCs/>
          <w:color w:val="auto"/>
          <w:spacing w:val="0"/>
          <w:sz w:val="32"/>
          <w:szCs w:val="52"/>
          <w:highlight w:val="none"/>
        </w:rPr>
        <w:t>202</w:t>
      </w:r>
      <w:r>
        <w:rPr>
          <w:rFonts w:hint="eastAsia" w:eastAsia="黑体" w:cs="黑体"/>
          <w:b/>
          <w:bCs/>
          <w:color w:val="auto"/>
          <w:spacing w:val="0"/>
          <w:sz w:val="32"/>
          <w:szCs w:val="52"/>
          <w:highlight w:val="none"/>
          <w:lang w:val="en-US" w:eastAsia="zh-CN"/>
        </w:rPr>
        <w:t>5</w:t>
      </w:r>
      <w:r>
        <w:rPr>
          <w:rFonts w:hint="eastAsia" w:ascii="Times New Roman" w:hAnsi="Times New Roman" w:eastAsia="黑体" w:cs="黑体"/>
          <w:b/>
          <w:bCs/>
          <w:color w:val="auto"/>
          <w:spacing w:val="0"/>
          <w:sz w:val="32"/>
          <w:szCs w:val="52"/>
          <w:highlight w:val="none"/>
        </w:rPr>
        <w:t>年</w:t>
      </w:r>
      <w:r>
        <w:rPr>
          <w:rFonts w:hint="eastAsia" w:eastAsia="黑体" w:cs="黑体"/>
          <w:b/>
          <w:bCs/>
          <w:color w:val="auto"/>
          <w:spacing w:val="0"/>
          <w:sz w:val="32"/>
          <w:szCs w:val="52"/>
          <w:highlight w:val="none"/>
          <w:lang w:val="en-US" w:eastAsia="zh-CN"/>
        </w:rPr>
        <w:t>5</w:t>
      </w:r>
      <w:r>
        <w:rPr>
          <w:rFonts w:hint="eastAsia" w:ascii="Times New Roman" w:hAnsi="Times New Roman" w:eastAsia="黑体" w:cs="黑体"/>
          <w:b/>
          <w:bCs/>
          <w:color w:val="auto"/>
          <w:spacing w:val="0"/>
          <w:sz w:val="32"/>
          <w:szCs w:val="52"/>
          <w:highlight w:val="none"/>
        </w:rPr>
        <w:t>月</w:t>
      </w:r>
    </w:p>
    <w:p w14:paraId="03A79477">
      <w:pPr>
        <w:rPr>
          <w:rFonts w:hint="eastAsia" w:ascii="Times New Roman" w:hAnsi="Times New Roman" w:eastAsia="黑体" w:cs="黑体"/>
          <w:b/>
          <w:bCs/>
          <w:color w:val="auto"/>
          <w:spacing w:val="0"/>
          <w:sz w:val="32"/>
          <w:szCs w:val="52"/>
          <w:highlight w:val="none"/>
        </w:rPr>
      </w:pPr>
      <w:r>
        <w:rPr>
          <w:rFonts w:hint="eastAsia" w:ascii="Times New Roman" w:hAnsi="Times New Roman" w:eastAsia="黑体" w:cs="黑体"/>
          <w:b/>
          <w:bCs/>
          <w:color w:val="auto"/>
          <w:spacing w:val="0"/>
          <w:sz w:val="32"/>
          <w:szCs w:val="52"/>
          <w:highlight w:val="none"/>
        </w:rPr>
        <w:br w:type="page"/>
      </w:r>
    </w:p>
    <w:p w14:paraId="084A9E2E">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黑体" w:cs="黑体"/>
          <w:b/>
          <w:bCs/>
          <w:color w:val="auto"/>
          <w:spacing w:val="0"/>
          <w:sz w:val="32"/>
          <w:szCs w:val="52"/>
          <w:highlight w:val="none"/>
        </w:rPr>
        <w:sectPr>
          <w:headerReference r:id="rId6" w:type="first"/>
          <w:footerReference r:id="rId7" w:type="first"/>
          <w:headerReference r:id="rId5" w:type="default"/>
          <w:pgSz w:w="11905" w:h="16838"/>
          <w:pgMar w:top="1587" w:right="1474" w:bottom="1474" w:left="1474" w:header="851" w:footer="567" w:gutter="0"/>
          <w:pgBorders w:offsetFrom="page">
            <w:top w:val="none" w:sz="0" w:space="0"/>
            <w:left w:val="none" w:sz="0" w:space="0"/>
            <w:bottom w:val="none" w:sz="0" w:space="0"/>
            <w:right w:val="none" w:sz="0" w:space="0"/>
          </w:pgBorders>
          <w:pgNumType w:fmt="upperRoman" w:start="1"/>
          <w:cols w:space="0" w:num="1"/>
          <w:titlePg/>
          <w:rtlGutter w:val="0"/>
          <w:docGrid w:linePitch="312" w:charSpace="0"/>
        </w:sectPr>
      </w:pPr>
    </w:p>
    <w:p w14:paraId="0BE4FF7F">
      <w:pPr>
        <w:keepNext w:val="0"/>
        <w:keepLines w:val="0"/>
        <w:pageBreakBefore w:val="0"/>
        <w:widowControl/>
        <w:kinsoku/>
        <w:wordWrap/>
        <w:overflowPunct w:val="0"/>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黑体" w:cs="黑体"/>
          <w:b/>
          <w:bCs/>
          <w:color w:val="auto"/>
          <w:spacing w:val="0"/>
          <w:sz w:val="32"/>
          <w:szCs w:val="52"/>
          <w:highlight w:val="none"/>
        </w:rPr>
        <w:sectPr>
          <w:pgSz w:w="11905" w:h="16838"/>
          <w:pgMar w:top="1587" w:right="1474" w:bottom="1474" w:left="1474" w:header="851" w:footer="567" w:gutter="0"/>
          <w:pgBorders w:offsetFrom="page">
            <w:top w:val="none" w:sz="0" w:space="0"/>
            <w:left w:val="none" w:sz="0" w:space="0"/>
            <w:bottom w:val="none" w:sz="0" w:space="0"/>
            <w:right w:val="none" w:sz="0" w:space="0"/>
          </w:pgBorders>
          <w:pgNumType w:fmt="upperRoman" w:start="1"/>
          <w:cols w:space="0" w:num="1"/>
          <w:titlePg/>
          <w:rtlGutter w:val="0"/>
          <w:docGrid w:linePitch="312" w:charSpace="0"/>
        </w:sectPr>
      </w:pPr>
    </w:p>
    <w:p w14:paraId="304C8075">
      <w:pPr>
        <w:keepNext w:val="0"/>
        <w:keepLines w:val="0"/>
        <w:pageBreakBefore w:val="0"/>
        <w:widowControl/>
        <w:wordWrap/>
        <w:overflowPunct w:val="0"/>
        <w:topLinePunct w:val="0"/>
        <w:bidi w:val="0"/>
        <w:spacing w:before="0" w:after="0" w:line="240" w:lineRule="auto"/>
        <w:ind w:left="0" w:leftChars="0" w:right="0" w:rightChars="0" w:firstLine="0" w:firstLineChars="0"/>
        <w:jc w:val="both"/>
        <w:rPr>
          <w:rFonts w:ascii="Times New Roman" w:hAnsi="Times New Roman" w:eastAsia="仿宋_GB2312" w:cs="Times New Roman"/>
          <w:color w:val="auto"/>
          <w:spacing w:val="0"/>
          <w:kern w:val="2"/>
          <w:sz w:val="21"/>
          <w:szCs w:val="21"/>
          <w:highlight w:val="none"/>
          <w:lang w:val="en-US" w:eastAsia="zh-CN" w:bidi="ar-SA"/>
        </w:rPr>
      </w:pPr>
    </w:p>
    <w:p w14:paraId="165B1269">
      <w:pPr>
        <w:spacing w:before="0" w:beforeLines="0" w:after="0" w:afterLines="0" w:line="240" w:lineRule="auto"/>
        <w:ind w:left="0" w:leftChars="0" w:right="0" w:rightChars="0" w:firstLine="0" w:firstLineChars="0"/>
        <w:jc w:val="center"/>
        <w:rPr>
          <w:rFonts w:hint="eastAsia" w:ascii="Times New Roman" w:hAnsi="Times New Roman" w:eastAsia="黑体" w:cs="黑体"/>
          <w:color w:val="auto"/>
          <w:spacing w:val="0"/>
          <w:sz w:val="36"/>
          <w:szCs w:val="36"/>
          <w:highlight w:val="none"/>
        </w:rPr>
      </w:pPr>
      <w:r>
        <w:rPr>
          <w:rFonts w:hint="eastAsia" w:ascii="Times New Roman" w:hAnsi="Times New Roman" w:eastAsia="黑体" w:cs="黑体"/>
          <w:color w:val="auto"/>
          <w:spacing w:val="0"/>
          <w:sz w:val="36"/>
          <w:szCs w:val="36"/>
          <w:highlight w:val="none"/>
        </w:rPr>
        <w:t>目</w:t>
      </w:r>
      <w:r>
        <w:rPr>
          <w:rFonts w:hint="eastAsia" w:ascii="Times New Roman" w:hAnsi="Times New Roman" w:eastAsia="黑体" w:cs="黑体"/>
          <w:color w:val="auto"/>
          <w:spacing w:val="0"/>
          <w:sz w:val="36"/>
          <w:szCs w:val="36"/>
          <w:highlight w:val="none"/>
          <w:lang w:val="en-US" w:eastAsia="zh-CN"/>
        </w:rPr>
        <w:t xml:space="preserve">  </w:t>
      </w:r>
      <w:r>
        <w:rPr>
          <w:rFonts w:hint="eastAsia" w:ascii="Times New Roman" w:hAnsi="Times New Roman" w:eastAsia="黑体" w:cs="黑体"/>
          <w:color w:val="auto"/>
          <w:spacing w:val="0"/>
          <w:sz w:val="36"/>
          <w:szCs w:val="36"/>
          <w:highlight w:val="none"/>
        </w:rPr>
        <w:t>录</w:t>
      </w:r>
    </w:p>
    <w:p w14:paraId="374F68A4">
      <w:pPr>
        <w:pStyle w:val="31"/>
        <w:tabs>
          <w:tab w:val="right" w:leader="dot" w:pos="8731"/>
          <w:tab w:val="clear" w:pos="9072"/>
        </w:tabs>
      </w:pPr>
      <w:r>
        <w:rPr>
          <w:rFonts w:hint="eastAsia" w:ascii="Times New Roman" w:hAnsi="Times New Roman" w:eastAsia="方正仿宋_GB2312" w:cs="黑体"/>
          <w:color w:val="auto"/>
          <w:sz w:val="32"/>
          <w:szCs w:val="32"/>
          <w:highlight w:val="none"/>
        </w:rPr>
        <w:fldChar w:fldCharType="begin"/>
      </w:r>
      <w:r>
        <w:rPr>
          <w:rFonts w:hint="eastAsia" w:ascii="Times New Roman" w:hAnsi="Times New Roman" w:eastAsia="方正仿宋_GB2312" w:cs="黑体"/>
          <w:color w:val="auto"/>
          <w:sz w:val="32"/>
          <w:szCs w:val="32"/>
          <w:highlight w:val="none"/>
        </w:rPr>
        <w:instrText xml:space="preserve">TOC \o "1-2" \h \u </w:instrText>
      </w:r>
      <w:r>
        <w:rPr>
          <w:rFonts w:hint="eastAsia" w:ascii="Times New Roman" w:hAnsi="Times New Roman" w:eastAsia="方正仿宋_GB2312" w:cs="黑体"/>
          <w:color w:val="auto"/>
          <w:sz w:val="32"/>
          <w:szCs w:val="32"/>
          <w:highlight w:val="none"/>
        </w:rPr>
        <w:fldChar w:fldCharType="separate"/>
      </w: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_Toc17201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一、</w:t>
      </w:r>
      <w:r>
        <w:rPr>
          <w:rFonts w:hint="eastAsia" w:ascii="仿宋" w:hAnsi="仿宋" w:eastAsia="仿宋" w:cs="仿宋"/>
          <w:bCs/>
          <w:spacing w:val="0"/>
          <w:highlight w:val="none"/>
          <w:lang w:val="en-US" w:eastAsia="zh-CN"/>
        </w:rPr>
        <w:t>规划总则</w:t>
      </w:r>
      <w:r>
        <w:tab/>
      </w:r>
      <w:r>
        <w:fldChar w:fldCharType="begin"/>
      </w:r>
      <w:r>
        <w:instrText xml:space="preserve"> PAGEREF _Toc17201 \h </w:instrText>
      </w:r>
      <w:r>
        <w:fldChar w:fldCharType="separate"/>
      </w:r>
      <w:r>
        <w:t>1</w:t>
      </w:r>
      <w:r>
        <w:fldChar w:fldCharType="end"/>
      </w:r>
      <w:r>
        <w:rPr>
          <w:rFonts w:hint="eastAsia" w:ascii="Times New Roman" w:hAnsi="Times New Roman" w:eastAsia="方正仿宋_GB2312" w:cs="黑体"/>
          <w:color w:val="auto"/>
          <w:szCs w:val="32"/>
          <w:highlight w:val="none"/>
        </w:rPr>
        <w:fldChar w:fldCharType="end"/>
      </w:r>
    </w:p>
    <w:p w14:paraId="5E261F23">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_Toc714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规划背景</w:t>
      </w:r>
      <w:r>
        <w:tab/>
      </w:r>
      <w:r>
        <w:fldChar w:fldCharType="begin"/>
      </w:r>
      <w:r>
        <w:instrText xml:space="preserve"> PAGEREF _Toc714 \h </w:instrText>
      </w:r>
      <w:r>
        <w:fldChar w:fldCharType="separate"/>
      </w:r>
      <w:r>
        <w:t>1</w:t>
      </w:r>
      <w:r>
        <w:fldChar w:fldCharType="end"/>
      </w:r>
      <w:r>
        <w:rPr>
          <w:rFonts w:hint="eastAsia" w:ascii="Times New Roman" w:hAnsi="Times New Roman" w:eastAsia="方正仿宋_GB2312" w:cs="黑体"/>
          <w:color w:val="auto"/>
          <w:szCs w:val="32"/>
          <w:highlight w:val="none"/>
        </w:rPr>
        <w:fldChar w:fldCharType="end"/>
      </w:r>
    </w:p>
    <w:p w14:paraId="188B04B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_Toc21865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highlight w:val="none"/>
          <w:lang w:val="en-US" w:eastAsia="zh-CN"/>
        </w:rPr>
        <w:t>规划依据</w:t>
      </w:r>
      <w:r>
        <w:tab/>
      </w:r>
      <w:r>
        <w:fldChar w:fldCharType="begin"/>
      </w:r>
      <w:r>
        <w:instrText xml:space="preserve"> PAGEREF _Toc21865 \h </w:instrText>
      </w:r>
      <w:r>
        <w:fldChar w:fldCharType="separate"/>
      </w:r>
      <w:r>
        <w:t>1</w:t>
      </w:r>
      <w:r>
        <w:fldChar w:fldCharType="end"/>
      </w:r>
      <w:r>
        <w:rPr>
          <w:rFonts w:hint="eastAsia" w:ascii="Times New Roman" w:hAnsi="Times New Roman" w:eastAsia="方正仿宋_GB2312" w:cs="黑体"/>
          <w:color w:val="auto"/>
          <w:szCs w:val="32"/>
          <w:highlight w:val="none"/>
        </w:rPr>
        <w:fldChar w:fldCharType="end"/>
      </w:r>
    </w:p>
    <w:p w14:paraId="7EE093F3">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_Toc17470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规划范围</w:t>
      </w:r>
      <w:r>
        <w:tab/>
      </w:r>
      <w:r>
        <w:fldChar w:fldCharType="begin"/>
      </w:r>
      <w:r>
        <w:instrText xml:space="preserve"> PAGEREF _Toc17470 \h </w:instrText>
      </w:r>
      <w:r>
        <w:fldChar w:fldCharType="separate"/>
      </w:r>
      <w:r>
        <w:t>2</w:t>
      </w:r>
      <w:r>
        <w:fldChar w:fldCharType="end"/>
      </w:r>
      <w:r>
        <w:rPr>
          <w:rFonts w:hint="eastAsia" w:ascii="Times New Roman" w:hAnsi="Times New Roman" w:eastAsia="方正仿宋_GB2312" w:cs="黑体"/>
          <w:color w:val="auto"/>
          <w:szCs w:val="32"/>
          <w:highlight w:val="none"/>
        </w:rPr>
        <w:fldChar w:fldCharType="end"/>
      </w:r>
    </w:p>
    <w:p w14:paraId="147D9987">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_Toc13017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规划期限</w:t>
      </w:r>
      <w:r>
        <w:tab/>
      </w:r>
      <w:r>
        <w:fldChar w:fldCharType="begin"/>
      </w:r>
      <w:r>
        <w:instrText xml:space="preserve"> PAGEREF _Toc13017 \h </w:instrText>
      </w:r>
      <w:r>
        <w:fldChar w:fldCharType="separate"/>
      </w:r>
      <w:r>
        <w:t>2</w:t>
      </w:r>
      <w:r>
        <w:fldChar w:fldCharType="end"/>
      </w:r>
      <w:r>
        <w:rPr>
          <w:rFonts w:hint="eastAsia" w:ascii="Times New Roman" w:hAnsi="Times New Roman" w:eastAsia="方正仿宋_GB2312" w:cs="黑体"/>
          <w:color w:val="auto"/>
          <w:szCs w:val="32"/>
          <w:highlight w:val="none"/>
        </w:rPr>
        <w:fldChar w:fldCharType="end"/>
      </w:r>
    </w:p>
    <w:p w14:paraId="56FA7602">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_Toc10282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建筑垃圾的定义</w:t>
      </w:r>
      <w:r>
        <w:tab/>
      </w:r>
      <w:r>
        <w:fldChar w:fldCharType="begin"/>
      </w:r>
      <w:r>
        <w:instrText xml:space="preserve"> PAGEREF _Toc10282 \h </w:instrText>
      </w:r>
      <w:r>
        <w:fldChar w:fldCharType="separate"/>
      </w:r>
      <w:r>
        <w:t>3</w:t>
      </w:r>
      <w:r>
        <w:fldChar w:fldCharType="end"/>
      </w:r>
      <w:r>
        <w:rPr>
          <w:rFonts w:hint="eastAsia" w:ascii="Times New Roman" w:hAnsi="Times New Roman" w:eastAsia="方正仿宋_GB2312" w:cs="黑体"/>
          <w:color w:val="auto"/>
          <w:szCs w:val="32"/>
          <w:highlight w:val="none"/>
        </w:rPr>
        <w:fldChar w:fldCharType="end"/>
      </w:r>
    </w:p>
    <w:p w14:paraId="3D90D22D">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_Toc28032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二、</w:t>
      </w:r>
      <w:r>
        <w:rPr>
          <w:rFonts w:hint="eastAsia" w:ascii="仿宋" w:hAnsi="仿宋" w:eastAsia="仿宋" w:cs="仿宋"/>
          <w:bCs/>
          <w:spacing w:val="0"/>
          <w:highlight w:val="none"/>
          <w:lang w:val="en-US" w:eastAsia="zh-CN"/>
        </w:rPr>
        <w:t>建筑垃圾产生处理现状及趋势分析</w:t>
      </w:r>
      <w:r>
        <w:tab/>
      </w:r>
      <w:r>
        <w:fldChar w:fldCharType="begin"/>
      </w:r>
      <w:r>
        <w:instrText xml:space="preserve"> PAGEREF _Toc28032 \h </w:instrText>
      </w:r>
      <w:r>
        <w:fldChar w:fldCharType="separate"/>
      </w:r>
      <w:r>
        <w:t>5</w:t>
      </w:r>
      <w:r>
        <w:fldChar w:fldCharType="end"/>
      </w:r>
      <w:r>
        <w:rPr>
          <w:rFonts w:hint="eastAsia" w:ascii="Times New Roman" w:hAnsi="Times New Roman" w:eastAsia="方正仿宋_GB2312" w:cs="黑体"/>
          <w:color w:val="auto"/>
          <w:szCs w:val="32"/>
          <w:highlight w:val="none"/>
        </w:rPr>
        <w:fldChar w:fldCharType="end"/>
      </w:r>
    </w:p>
    <w:p w14:paraId="5DCA3B2A">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_Toc13203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highlight w:val="none"/>
          <w:lang w:val="en-US" w:eastAsia="zh-CN"/>
        </w:rPr>
        <w:t>现状情况</w:t>
      </w:r>
      <w:r>
        <w:tab/>
      </w:r>
      <w:r>
        <w:fldChar w:fldCharType="begin"/>
      </w:r>
      <w:r>
        <w:instrText xml:space="preserve"> PAGEREF _Toc13203 \h </w:instrText>
      </w:r>
      <w:r>
        <w:fldChar w:fldCharType="separate"/>
      </w:r>
      <w:r>
        <w:t>5</w:t>
      </w:r>
      <w:r>
        <w:fldChar w:fldCharType="end"/>
      </w:r>
      <w:r>
        <w:rPr>
          <w:rFonts w:hint="eastAsia" w:ascii="Times New Roman" w:hAnsi="Times New Roman" w:eastAsia="方正仿宋_GB2312" w:cs="黑体"/>
          <w:color w:val="auto"/>
          <w:szCs w:val="32"/>
          <w:highlight w:val="none"/>
        </w:rPr>
        <w:fldChar w:fldCharType="end"/>
      </w:r>
    </w:p>
    <w:p w14:paraId="30344430">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_Toc19783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建筑垃圾产生量预测</w:t>
      </w:r>
      <w:r>
        <w:tab/>
      </w:r>
      <w:r>
        <w:fldChar w:fldCharType="begin"/>
      </w:r>
      <w:r>
        <w:instrText xml:space="preserve"> PAGEREF _Toc19783 \h </w:instrText>
      </w:r>
      <w:r>
        <w:fldChar w:fldCharType="separate"/>
      </w:r>
      <w:r>
        <w:t>5</w:t>
      </w:r>
      <w:r>
        <w:fldChar w:fldCharType="end"/>
      </w:r>
      <w:r>
        <w:rPr>
          <w:rFonts w:hint="eastAsia" w:ascii="Times New Roman" w:hAnsi="Times New Roman" w:eastAsia="方正仿宋_GB2312" w:cs="黑体"/>
          <w:color w:val="auto"/>
          <w:szCs w:val="32"/>
          <w:highlight w:val="none"/>
        </w:rPr>
        <w:fldChar w:fldCharType="end"/>
      </w:r>
    </w:p>
    <w:p w14:paraId="641333E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_Toc29136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处理量预测</w:t>
      </w:r>
      <w:r>
        <w:tab/>
      </w:r>
      <w:r>
        <w:fldChar w:fldCharType="begin"/>
      </w:r>
      <w:r>
        <w:instrText xml:space="preserve"> PAGEREF _Toc29136 \h </w:instrText>
      </w:r>
      <w:r>
        <w:fldChar w:fldCharType="separate"/>
      </w:r>
      <w:r>
        <w:t>8</w:t>
      </w:r>
      <w:r>
        <w:fldChar w:fldCharType="end"/>
      </w:r>
      <w:r>
        <w:rPr>
          <w:rFonts w:hint="eastAsia" w:ascii="Times New Roman" w:hAnsi="Times New Roman" w:eastAsia="方正仿宋_GB2312" w:cs="黑体"/>
          <w:color w:val="auto"/>
          <w:szCs w:val="32"/>
          <w:highlight w:val="none"/>
        </w:rPr>
        <w:fldChar w:fldCharType="end"/>
      </w:r>
    </w:p>
    <w:p w14:paraId="12E1FD39">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_Toc20218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三、</w:t>
      </w:r>
      <w:r>
        <w:rPr>
          <w:rFonts w:hint="eastAsia" w:ascii="仿宋" w:hAnsi="仿宋" w:eastAsia="仿宋" w:cs="仿宋"/>
          <w:bCs/>
          <w:spacing w:val="0"/>
          <w:highlight w:val="none"/>
          <w:lang w:val="en-US" w:eastAsia="zh-CN"/>
        </w:rPr>
        <w:t>总体思路</w:t>
      </w:r>
      <w:r>
        <w:tab/>
      </w:r>
      <w:r>
        <w:fldChar w:fldCharType="begin"/>
      </w:r>
      <w:r>
        <w:instrText xml:space="preserve"> PAGEREF _Toc20218 \h </w:instrText>
      </w:r>
      <w:r>
        <w:fldChar w:fldCharType="separate"/>
      </w:r>
      <w:r>
        <w:t>10</w:t>
      </w:r>
      <w:r>
        <w:fldChar w:fldCharType="end"/>
      </w:r>
      <w:r>
        <w:rPr>
          <w:rFonts w:hint="eastAsia" w:ascii="Times New Roman" w:hAnsi="Times New Roman" w:eastAsia="方正仿宋_GB2312" w:cs="黑体"/>
          <w:color w:val="auto"/>
          <w:szCs w:val="32"/>
          <w:highlight w:val="none"/>
        </w:rPr>
        <w:fldChar w:fldCharType="end"/>
      </w:r>
    </w:p>
    <w:p w14:paraId="6D52B107">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_Toc14369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指导思想</w:t>
      </w:r>
      <w:r>
        <w:tab/>
      </w:r>
      <w:r>
        <w:fldChar w:fldCharType="begin"/>
      </w:r>
      <w:r>
        <w:instrText xml:space="preserve"> PAGEREF _Toc14369 \h </w:instrText>
      </w:r>
      <w:r>
        <w:fldChar w:fldCharType="separate"/>
      </w:r>
      <w:r>
        <w:t>10</w:t>
      </w:r>
      <w:r>
        <w:fldChar w:fldCharType="end"/>
      </w:r>
      <w:r>
        <w:rPr>
          <w:rFonts w:hint="eastAsia" w:ascii="Times New Roman" w:hAnsi="Times New Roman" w:eastAsia="方正仿宋_GB2312" w:cs="黑体"/>
          <w:color w:val="auto"/>
          <w:szCs w:val="32"/>
          <w:highlight w:val="none"/>
        </w:rPr>
        <w:fldChar w:fldCharType="end"/>
      </w:r>
    </w:p>
    <w:p w14:paraId="644FEC3F">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_Toc6122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思路与原则</w:t>
      </w:r>
      <w:r>
        <w:tab/>
      </w:r>
      <w:r>
        <w:fldChar w:fldCharType="begin"/>
      </w:r>
      <w:r>
        <w:instrText xml:space="preserve"> PAGEREF _Toc6122 \h </w:instrText>
      </w:r>
      <w:r>
        <w:fldChar w:fldCharType="separate"/>
      </w:r>
      <w:r>
        <w:t>10</w:t>
      </w:r>
      <w:r>
        <w:fldChar w:fldCharType="end"/>
      </w:r>
      <w:r>
        <w:rPr>
          <w:rFonts w:hint="eastAsia" w:ascii="Times New Roman" w:hAnsi="Times New Roman" w:eastAsia="方正仿宋_GB2312" w:cs="黑体"/>
          <w:color w:val="auto"/>
          <w:szCs w:val="32"/>
          <w:highlight w:val="none"/>
        </w:rPr>
        <w:fldChar w:fldCharType="end"/>
      </w:r>
    </w:p>
    <w:p w14:paraId="7B06A34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_Toc3907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规划目标</w:t>
      </w:r>
      <w:r>
        <w:tab/>
      </w:r>
      <w:r>
        <w:fldChar w:fldCharType="begin"/>
      </w:r>
      <w:r>
        <w:instrText xml:space="preserve"> PAGEREF _Toc3907 \h </w:instrText>
      </w:r>
      <w:r>
        <w:fldChar w:fldCharType="separate"/>
      </w:r>
      <w:r>
        <w:t>11</w:t>
      </w:r>
      <w:r>
        <w:fldChar w:fldCharType="end"/>
      </w:r>
      <w:r>
        <w:rPr>
          <w:rFonts w:hint="eastAsia" w:ascii="Times New Roman" w:hAnsi="Times New Roman" w:eastAsia="方正仿宋_GB2312" w:cs="黑体"/>
          <w:color w:val="auto"/>
          <w:szCs w:val="32"/>
          <w:highlight w:val="none"/>
        </w:rPr>
        <w:fldChar w:fldCharType="end"/>
      </w:r>
    </w:p>
    <w:p w14:paraId="5238B2DF">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_Toc27602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四、</w:t>
      </w:r>
      <w:r>
        <w:rPr>
          <w:rFonts w:hint="eastAsia" w:ascii="仿宋" w:hAnsi="仿宋" w:eastAsia="仿宋" w:cs="仿宋"/>
          <w:bCs/>
          <w:spacing w:val="0"/>
          <w:szCs w:val="32"/>
          <w:highlight w:val="none"/>
          <w:lang w:val="en-US" w:eastAsia="zh-CN"/>
        </w:rPr>
        <w:t>全流程污染防治监督管理规划</w:t>
      </w:r>
      <w:r>
        <w:tab/>
      </w:r>
      <w:r>
        <w:fldChar w:fldCharType="begin"/>
      </w:r>
      <w:r>
        <w:instrText xml:space="preserve"> PAGEREF _Toc27602 \h </w:instrText>
      </w:r>
      <w:r>
        <w:fldChar w:fldCharType="separate"/>
      </w:r>
      <w:r>
        <w:t>16</w:t>
      </w:r>
      <w:r>
        <w:fldChar w:fldCharType="end"/>
      </w:r>
      <w:r>
        <w:rPr>
          <w:rFonts w:hint="eastAsia" w:ascii="Times New Roman" w:hAnsi="Times New Roman" w:eastAsia="方正仿宋_GB2312" w:cs="黑体"/>
          <w:color w:val="auto"/>
          <w:szCs w:val="32"/>
          <w:highlight w:val="none"/>
        </w:rPr>
        <w:fldChar w:fldCharType="end"/>
      </w:r>
    </w:p>
    <w:p w14:paraId="6BA0AAD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_Toc14918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管理制度机制建设</w:t>
      </w:r>
      <w:r>
        <w:tab/>
      </w:r>
      <w:r>
        <w:fldChar w:fldCharType="begin"/>
      </w:r>
      <w:r>
        <w:instrText xml:space="preserve"> PAGEREF _Toc14918 \h </w:instrText>
      </w:r>
      <w:r>
        <w:fldChar w:fldCharType="separate"/>
      </w:r>
      <w:r>
        <w:t>16</w:t>
      </w:r>
      <w:r>
        <w:fldChar w:fldCharType="end"/>
      </w:r>
      <w:r>
        <w:rPr>
          <w:rFonts w:hint="eastAsia" w:ascii="Times New Roman" w:hAnsi="Times New Roman" w:eastAsia="方正仿宋_GB2312" w:cs="黑体"/>
          <w:color w:val="auto"/>
          <w:szCs w:val="32"/>
          <w:highlight w:val="none"/>
        </w:rPr>
        <w:fldChar w:fldCharType="end"/>
      </w:r>
    </w:p>
    <w:p w14:paraId="1CC977F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_Toc24246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部门职责分工</w:t>
      </w:r>
      <w:r>
        <w:tab/>
      </w:r>
      <w:r>
        <w:fldChar w:fldCharType="begin"/>
      </w:r>
      <w:r>
        <w:instrText xml:space="preserve"> PAGEREF _Toc24246 \h </w:instrText>
      </w:r>
      <w:r>
        <w:fldChar w:fldCharType="separate"/>
      </w:r>
      <w:r>
        <w:t>17</w:t>
      </w:r>
      <w:r>
        <w:fldChar w:fldCharType="end"/>
      </w:r>
      <w:r>
        <w:rPr>
          <w:rFonts w:hint="eastAsia" w:ascii="Times New Roman" w:hAnsi="Times New Roman" w:eastAsia="方正仿宋_GB2312" w:cs="黑体"/>
          <w:color w:val="auto"/>
          <w:szCs w:val="32"/>
          <w:highlight w:val="none"/>
        </w:rPr>
        <w:fldChar w:fldCharType="end"/>
      </w:r>
    </w:p>
    <w:p w14:paraId="336F8D36">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_Toc19825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排放核准及污染防治措施要求</w:t>
      </w:r>
      <w:r>
        <w:tab/>
      </w:r>
      <w:r>
        <w:fldChar w:fldCharType="begin"/>
      </w:r>
      <w:r>
        <w:instrText xml:space="preserve"> PAGEREF _Toc19825 \h </w:instrText>
      </w:r>
      <w:r>
        <w:fldChar w:fldCharType="separate"/>
      </w:r>
      <w:r>
        <w:t>20</w:t>
      </w:r>
      <w:r>
        <w:fldChar w:fldCharType="end"/>
      </w:r>
      <w:r>
        <w:rPr>
          <w:rFonts w:hint="eastAsia" w:ascii="Times New Roman" w:hAnsi="Times New Roman" w:eastAsia="方正仿宋_GB2312" w:cs="黑体"/>
          <w:color w:val="auto"/>
          <w:szCs w:val="32"/>
          <w:highlight w:val="none"/>
        </w:rPr>
        <w:fldChar w:fldCharType="end"/>
      </w:r>
    </w:p>
    <w:p w14:paraId="50A15719">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_Toc2766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陆路运输核准及污染防治措施要求</w:t>
      </w:r>
      <w:r>
        <w:tab/>
      </w:r>
      <w:r>
        <w:fldChar w:fldCharType="begin"/>
      </w:r>
      <w:r>
        <w:instrText xml:space="preserve"> PAGEREF _Toc2766 \h </w:instrText>
      </w:r>
      <w:r>
        <w:fldChar w:fldCharType="separate"/>
      </w:r>
      <w:r>
        <w:t>22</w:t>
      </w:r>
      <w:r>
        <w:fldChar w:fldCharType="end"/>
      </w:r>
      <w:r>
        <w:rPr>
          <w:rFonts w:hint="eastAsia" w:ascii="Times New Roman" w:hAnsi="Times New Roman" w:eastAsia="方正仿宋_GB2312" w:cs="黑体"/>
          <w:color w:val="auto"/>
          <w:szCs w:val="32"/>
          <w:highlight w:val="none"/>
        </w:rPr>
        <w:fldChar w:fldCharType="end"/>
      </w:r>
    </w:p>
    <w:p w14:paraId="7DF43C5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_Toc7424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水路运输核准及污染防治措施要求</w:t>
      </w:r>
      <w:r>
        <w:tab/>
      </w:r>
      <w:r>
        <w:fldChar w:fldCharType="begin"/>
      </w:r>
      <w:r>
        <w:instrText xml:space="preserve"> PAGEREF _Toc7424 \h </w:instrText>
      </w:r>
      <w:r>
        <w:fldChar w:fldCharType="separate"/>
      </w:r>
      <w:r>
        <w:t>22</w:t>
      </w:r>
      <w:r>
        <w:fldChar w:fldCharType="end"/>
      </w:r>
      <w:r>
        <w:rPr>
          <w:rFonts w:hint="eastAsia" w:ascii="Times New Roman" w:hAnsi="Times New Roman" w:eastAsia="方正仿宋_GB2312" w:cs="黑体"/>
          <w:color w:val="auto"/>
          <w:szCs w:val="32"/>
          <w:highlight w:val="none"/>
        </w:rPr>
        <w:fldChar w:fldCharType="end"/>
      </w:r>
    </w:p>
    <w:p w14:paraId="343810AC">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_Toc4799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（六）</w:t>
      </w:r>
      <w:r>
        <w:rPr>
          <w:rFonts w:hint="eastAsia" w:ascii="仿宋" w:hAnsi="仿宋" w:eastAsia="仿宋" w:cs="仿宋"/>
          <w:bCs w:val="0"/>
          <w:spacing w:val="0"/>
          <w:kern w:val="2"/>
          <w:szCs w:val="32"/>
          <w:highlight w:val="none"/>
          <w:lang w:val="en-US" w:eastAsia="zh-CN" w:bidi="ar-SA"/>
        </w:rPr>
        <w:t>综合利用和消纳核准及污染防治措施要求</w:t>
      </w:r>
      <w:r>
        <w:tab/>
      </w:r>
      <w:r>
        <w:fldChar w:fldCharType="begin"/>
      </w:r>
      <w:r>
        <w:instrText xml:space="preserve"> PAGEREF _Toc4799 \h </w:instrText>
      </w:r>
      <w:r>
        <w:fldChar w:fldCharType="separate"/>
      </w:r>
      <w:r>
        <w:t>23</w:t>
      </w:r>
      <w:r>
        <w:fldChar w:fldCharType="end"/>
      </w:r>
      <w:r>
        <w:rPr>
          <w:rFonts w:hint="eastAsia" w:ascii="Times New Roman" w:hAnsi="Times New Roman" w:eastAsia="方正仿宋_GB2312" w:cs="黑体"/>
          <w:color w:val="auto"/>
          <w:szCs w:val="32"/>
          <w:highlight w:val="none"/>
        </w:rPr>
        <w:fldChar w:fldCharType="end"/>
      </w:r>
    </w:p>
    <w:p w14:paraId="18B5AE18">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_Toc19187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（七）</w:t>
      </w:r>
      <w:r>
        <w:rPr>
          <w:rFonts w:hint="eastAsia" w:ascii="仿宋" w:hAnsi="仿宋" w:eastAsia="仿宋" w:cs="仿宋"/>
          <w:bCs w:val="0"/>
          <w:spacing w:val="0"/>
          <w:kern w:val="2"/>
          <w:szCs w:val="32"/>
          <w:highlight w:val="none"/>
          <w:lang w:val="en-US" w:eastAsia="zh-CN" w:bidi="ar-SA"/>
        </w:rPr>
        <w:t>联单管理要求</w:t>
      </w:r>
      <w:r>
        <w:tab/>
      </w:r>
      <w:r>
        <w:fldChar w:fldCharType="begin"/>
      </w:r>
      <w:r>
        <w:instrText xml:space="preserve"> PAGEREF _Toc19187 \h </w:instrText>
      </w:r>
      <w:r>
        <w:fldChar w:fldCharType="separate"/>
      </w:r>
      <w:r>
        <w:t>25</w:t>
      </w:r>
      <w:r>
        <w:fldChar w:fldCharType="end"/>
      </w:r>
      <w:r>
        <w:rPr>
          <w:rFonts w:hint="eastAsia" w:ascii="Times New Roman" w:hAnsi="Times New Roman" w:eastAsia="方正仿宋_GB2312" w:cs="黑体"/>
          <w:color w:val="auto"/>
          <w:szCs w:val="32"/>
          <w:highlight w:val="none"/>
        </w:rPr>
        <w:fldChar w:fldCharType="end"/>
      </w:r>
    </w:p>
    <w:p w14:paraId="71D7BC88">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_Toc15025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（八）</w:t>
      </w:r>
      <w:r>
        <w:rPr>
          <w:rFonts w:hint="eastAsia" w:ascii="仿宋" w:hAnsi="仿宋" w:eastAsia="仿宋" w:cs="仿宋"/>
          <w:bCs w:val="0"/>
          <w:spacing w:val="0"/>
          <w:kern w:val="2"/>
          <w:szCs w:val="32"/>
          <w:highlight w:val="none"/>
          <w:lang w:val="en-US" w:eastAsia="zh-CN" w:bidi="ar-SA"/>
        </w:rPr>
        <w:t>安全风险防控工作要求</w:t>
      </w:r>
      <w:r>
        <w:tab/>
      </w:r>
      <w:r>
        <w:fldChar w:fldCharType="begin"/>
      </w:r>
      <w:r>
        <w:instrText xml:space="preserve"> PAGEREF _Toc15025 \h </w:instrText>
      </w:r>
      <w:r>
        <w:fldChar w:fldCharType="separate"/>
      </w:r>
      <w:r>
        <w:t>26</w:t>
      </w:r>
      <w:r>
        <w:fldChar w:fldCharType="end"/>
      </w:r>
      <w:r>
        <w:rPr>
          <w:rFonts w:hint="eastAsia" w:ascii="Times New Roman" w:hAnsi="Times New Roman" w:eastAsia="方正仿宋_GB2312" w:cs="黑体"/>
          <w:color w:val="auto"/>
          <w:szCs w:val="32"/>
          <w:highlight w:val="none"/>
        </w:rPr>
        <w:fldChar w:fldCharType="end"/>
      </w:r>
    </w:p>
    <w:p w14:paraId="5F131EFC">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_Toc13396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（九）</w:t>
      </w:r>
      <w:r>
        <w:rPr>
          <w:rFonts w:hint="eastAsia" w:ascii="仿宋" w:hAnsi="仿宋" w:eastAsia="仿宋" w:cs="仿宋"/>
          <w:bCs w:val="0"/>
          <w:spacing w:val="0"/>
          <w:kern w:val="2"/>
          <w:szCs w:val="32"/>
          <w:highlight w:val="none"/>
          <w:lang w:val="en-US" w:eastAsia="zh-CN" w:bidi="ar-SA"/>
        </w:rPr>
        <w:t>设施环境影响评价及环境监测工作要求</w:t>
      </w:r>
      <w:r>
        <w:tab/>
      </w:r>
      <w:r>
        <w:fldChar w:fldCharType="begin"/>
      </w:r>
      <w:r>
        <w:instrText xml:space="preserve"> PAGEREF _Toc13396 \h </w:instrText>
      </w:r>
      <w:r>
        <w:fldChar w:fldCharType="separate"/>
      </w:r>
      <w:r>
        <w:t>27</w:t>
      </w:r>
      <w:r>
        <w:fldChar w:fldCharType="end"/>
      </w:r>
      <w:r>
        <w:rPr>
          <w:rFonts w:hint="eastAsia" w:ascii="Times New Roman" w:hAnsi="Times New Roman" w:eastAsia="方正仿宋_GB2312" w:cs="黑体"/>
          <w:color w:val="auto"/>
          <w:szCs w:val="32"/>
          <w:highlight w:val="none"/>
        </w:rPr>
        <w:fldChar w:fldCharType="end"/>
      </w:r>
    </w:p>
    <w:p w14:paraId="48CDB2D1">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_Toc30470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五、</w:t>
      </w:r>
      <w:r>
        <w:rPr>
          <w:rFonts w:hint="eastAsia" w:ascii="仿宋" w:hAnsi="仿宋" w:eastAsia="仿宋" w:cs="仿宋"/>
          <w:bCs/>
          <w:spacing w:val="0"/>
          <w:szCs w:val="32"/>
          <w:highlight w:val="none"/>
          <w:lang w:val="en-US" w:eastAsia="zh-CN"/>
        </w:rPr>
        <w:t>源头排放污染防治策略</w:t>
      </w:r>
      <w:r>
        <w:tab/>
      </w:r>
      <w:r>
        <w:fldChar w:fldCharType="begin"/>
      </w:r>
      <w:r>
        <w:instrText xml:space="preserve"> PAGEREF _Toc30470 \h </w:instrText>
      </w:r>
      <w:r>
        <w:fldChar w:fldCharType="separate"/>
      </w:r>
      <w:r>
        <w:t>29</w:t>
      </w:r>
      <w:r>
        <w:fldChar w:fldCharType="end"/>
      </w:r>
      <w:r>
        <w:rPr>
          <w:rFonts w:hint="eastAsia" w:ascii="Times New Roman" w:hAnsi="Times New Roman" w:eastAsia="方正仿宋_GB2312" w:cs="黑体"/>
          <w:color w:val="auto"/>
          <w:szCs w:val="32"/>
          <w:highlight w:val="none"/>
        </w:rPr>
        <w:fldChar w:fldCharType="end"/>
      </w:r>
    </w:p>
    <w:p w14:paraId="1369185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_Toc16787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源头减量目标</w:t>
      </w:r>
      <w:r>
        <w:tab/>
      </w:r>
      <w:r>
        <w:fldChar w:fldCharType="begin"/>
      </w:r>
      <w:r>
        <w:instrText xml:space="preserve"> PAGEREF _Toc16787 \h </w:instrText>
      </w:r>
      <w:r>
        <w:fldChar w:fldCharType="separate"/>
      </w:r>
      <w:r>
        <w:t>29</w:t>
      </w:r>
      <w:r>
        <w:fldChar w:fldCharType="end"/>
      </w:r>
      <w:r>
        <w:rPr>
          <w:rFonts w:hint="eastAsia" w:ascii="Times New Roman" w:hAnsi="Times New Roman" w:eastAsia="方正仿宋_GB2312" w:cs="黑体"/>
          <w:color w:val="auto"/>
          <w:szCs w:val="32"/>
          <w:highlight w:val="none"/>
        </w:rPr>
        <w:fldChar w:fldCharType="end"/>
      </w:r>
    </w:p>
    <w:p w14:paraId="28BCE6D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_Toc1458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落实源头减量主体责任</w:t>
      </w:r>
      <w:r>
        <w:tab/>
      </w:r>
      <w:r>
        <w:fldChar w:fldCharType="begin"/>
      </w:r>
      <w:r>
        <w:instrText xml:space="preserve"> PAGEREF _Toc1458 \h </w:instrText>
      </w:r>
      <w:r>
        <w:fldChar w:fldCharType="separate"/>
      </w:r>
      <w:r>
        <w:t>29</w:t>
      </w:r>
      <w:r>
        <w:fldChar w:fldCharType="end"/>
      </w:r>
      <w:r>
        <w:rPr>
          <w:rFonts w:hint="eastAsia" w:ascii="Times New Roman" w:hAnsi="Times New Roman" w:eastAsia="方正仿宋_GB2312" w:cs="黑体"/>
          <w:color w:val="auto"/>
          <w:szCs w:val="32"/>
          <w:highlight w:val="none"/>
        </w:rPr>
        <w:fldChar w:fldCharType="end"/>
      </w:r>
    </w:p>
    <w:p w14:paraId="5DF7FEC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_Toc31472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推进建筑垃圾源头分类</w:t>
      </w:r>
      <w:r>
        <w:tab/>
      </w:r>
      <w:r>
        <w:fldChar w:fldCharType="begin"/>
      </w:r>
      <w:r>
        <w:instrText xml:space="preserve"> PAGEREF _Toc31472 \h </w:instrText>
      </w:r>
      <w:r>
        <w:fldChar w:fldCharType="separate"/>
      </w:r>
      <w:r>
        <w:t>30</w:t>
      </w:r>
      <w:r>
        <w:fldChar w:fldCharType="end"/>
      </w:r>
      <w:r>
        <w:rPr>
          <w:rFonts w:hint="eastAsia" w:ascii="Times New Roman" w:hAnsi="Times New Roman" w:eastAsia="方正仿宋_GB2312" w:cs="黑体"/>
          <w:color w:val="auto"/>
          <w:szCs w:val="32"/>
          <w:highlight w:val="none"/>
        </w:rPr>
        <w:fldChar w:fldCharType="end"/>
      </w:r>
    </w:p>
    <w:p w14:paraId="1E04E559">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_Toc3986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开展绿色策划</w:t>
      </w:r>
      <w:r>
        <w:tab/>
      </w:r>
      <w:r>
        <w:fldChar w:fldCharType="begin"/>
      </w:r>
      <w:r>
        <w:instrText xml:space="preserve"> PAGEREF _Toc3986 \h </w:instrText>
      </w:r>
      <w:r>
        <w:fldChar w:fldCharType="separate"/>
      </w:r>
      <w:r>
        <w:t>34</w:t>
      </w:r>
      <w:r>
        <w:fldChar w:fldCharType="end"/>
      </w:r>
      <w:r>
        <w:rPr>
          <w:rFonts w:hint="eastAsia" w:ascii="Times New Roman" w:hAnsi="Times New Roman" w:eastAsia="方正仿宋_GB2312" w:cs="黑体"/>
          <w:color w:val="auto"/>
          <w:szCs w:val="32"/>
          <w:highlight w:val="none"/>
        </w:rPr>
        <w:fldChar w:fldCharType="end"/>
      </w:r>
    </w:p>
    <w:p w14:paraId="51C1B319">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_Toc2315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实施绿色设计</w:t>
      </w:r>
      <w:r>
        <w:tab/>
      </w:r>
      <w:r>
        <w:fldChar w:fldCharType="begin"/>
      </w:r>
      <w:r>
        <w:instrText xml:space="preserve"> PAGEREF _Toc2315 \h </w:instrText>
      </w:r>
      <w:r>
        <w:fldChar w:fldCharType="separate"/>
      </w:r>
      <w:r>
        <w:t>36</w:t>
      </w:r>
      <w:r>
        <w:fldChar w:fldCharType="end"/>
      </w:r>
      <w:r>
        <w:rPr>
          <w:rFonts w:hint="eastAsia" w:ascii="Times New Roman" w:hAnsi="Times New Roman" w:eastAsia="方正仿宋_GB2312" w:cs="黑体"/>
          <w:color w:val="auto"/>
          <w:szCs w:val="32"/>
          <w:highlight w:val="none"/>
        </w:rPr>
        <w:fldChar w:fldCharType="end"/>
      </w:r>
    </w:p>
    <w:p w14:paraId="4D8FCB60">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_Toc31022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（六）</w:t>
      </w:r>
      <w:r>
        <w:rPr>
          <w:rFonts w:hint="eastAsia" w:ascii="仿宋" w:hAnsi="仿宋" w:eastAsia="仿宋" w:cs="仿宋"/>
          <w:bCs w:val="0"/>
          <w:spacing w:val="0"/>
          <w:kern w:val="2"/>
          <w:szCs w:val="32"/>
          <w:highlight w:val="none"/>
          <w:lang w:val="en-US" w:eastAsia="zh-CN" w:bidi="ar-SA"/>
        </w:rPr>
        <w:t>推广绿色施工</w:t>
      </w:r>
      <w:r>
        <w:tab/>
      </w:r>
      <w:r>
        <w:fldChar w:fldCharType="begin"/>
      </w:r>
      <w:r>
        <w:instrText xml:space="preserve"> PAGEREF _Toc31022 \h </w:instrText>
      </w:r>
      <w:r>
        <w:fldChar w:fldCharType="separate"/>
      </w:r>
      <w:r>
        <w:t>37</w:t>
      </w:r>
      <w:r>
        <w:fldChar w:fldCharType="end"/>
      </w:r>
      <w:r>
        <w:rPr>
          <w:rFonts w:hint="eastAsia" w:ascii="Times New Roman" w:hAnsi="Times New Roman" w:eastAsia="方正仿宋_GB2312" w:cs="黑体"/>
          <w:color w:val="auto"/>
          <w:szCs w:val="32"/>
          <w:highlight w:val="none"/>
        </w:rPr>
        <w:fldChar w:fldCharType="end"/>
      </w:r>
    </w:p>
    <w:p w14:paraId="181409F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_Toc19215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（七）</w:t>
      </w:r>
      <w:r>
        <w:rPr>
          <w:rFonts w:hint="eastAsia" w:ascii="仿宋" w:hAnsi="仿宋" w:eastAsia="仿宋" w:cs="仿宋"/>
          <w:bCs w:val="0"/>
          <w:spacing w:val="0"/>
          <w:kern w:val="2"/>
          <w:szCs w:val="32"/>
          <w:highlight w:val="none"/>
          <w:lang w:val="en-US" w:eastAsia="zh-CN" w:bidi="ar-SA"/>
        </w:rPr>
        <w:t>推动施工现场就地资源化利用</w:t>
      </w:r>
      <w:r>
        <w:tab/>
      </w:r>
      <w:r>
        <w:fldChar w:fldCharType="begin"/>
      </w:r>
      <w:r>
        <w:instrText xml:space="preserve"> PAGEREF _Toc19215 \h </w:instrText>
      </w:r>
      <w:r>
        <w:fldChar w:fldCharType="separate"/>
      </w:r>
      <w:r>
        <w:t>38</w:t>
      </w:r>
      <w:r>
        <w:fldChar w:fldCharType="end"/>
      </w:r>
      <w:r>
        <w:rPr>
          <w:rFonts w:hint="eastAsia" w:ascii="Times New Roman" w:hAnsi="Times New Roman" w:eastAsia="方正仿宋_GB2312" w:cs="黑体"/>
          <w:color w:val="auto"/>
          <w:szCs w:val="32"/>
          <w:highlight w:val="none"/>
        </w:rPr>
        <w:fldChar w:fldCharType="end"/>
      </w:r>
    </w:p>
    <w:p w14:paraId="6F7E077F">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_Toc1731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（八）</w:t>
      </w:r>
      <w:r>
        <w:rPr>
          <w:rFonts w:hint="eastAsia" w:ascii="仿宋" w:hAnsi="仿宋" w:eastAsia="仿宋" w:cs="仿宋"/>
          <w:bCs w:val="0"/>
          <w:spacing w:val="0"/>
          <w:kern w:val="2"/>
          <w:szCs w:val="32"/>
          <w:highlight w:val="none"/>
          <w:lang w:val="en-US" w:eastAsia="zh-CN" w:bidi="ar-SA"/>
        </w:rPr>
        <w:t>重点区域源头管控要点</w:t>
      </w:r>
      <w:r>
        <w:tab/>
      </w:r>
      <w:r>
        <w:fldChar w:fldCharType="begin"/>
      </w:r>
      <w:r>
        <w:instrText xml:space="preserve"> PAGEREF _Toc1731 \h </w:instrText>
      </w:r>
      <w:r>
        <w:fldChar w:fldCharType="separate"/>
      </w:r>
      <w:r>
        <w:t>39</w:t>
      </w:r>
      <w:r>
        <w:fldChar w:fldCharType="end"/>
      </w:r>
      <w:r>
        <w:rPr>
          <w:rFonts w:hint="eastAsia" w:ascii="Times New Roman" w:hAnsi="Times New Roman" w:eastAsia="方正仿宋_GB2312" w:cs="黑体"/>
          <w:color w:val="auto"/>
          <w:szCs w:val="32"/>
          <w:highlight w:val="none"/>
        </w:rPr>
        <w:fldChar w:fldCharType="end"/>
      </w:r>
    </w:p>
    <w:p w14:paraId="4D7B91AD">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_Toc14096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六、</w:t>
      </w:r>
      <w:r>
        <w:rPr>
          <w:rFonts w:hint="eastAsia" w:ascii="仿宋" w:hAnsi="仿宋" w:eastAsia="仿宋" w:cs="仿宋"/>
          <w:bCs/>
          <w:spacing w:val="0"/>
          <w:szCs w:val="32"/>
          <w:highlight w:val="none"/>
          <w:lang w:val="en-US" w:eastAsia="zh-CN"/>
        </w:rPr>
        <w:t>收运环节污染防治策略</w:t>
      </w:r>
      <w:r>
        <w:tab/>
      </w:r>
      <w:r>
        <w:fldChar w:fldCharType="begin"/>
      </w:r>
      <w:r>
        <w:instrText xml:space="preserve"> PAGEREF _Toc14096 \h </w:instrText>
      </w:r>
      <w:r>
        <w:fldChar w:fldCharType="separate"/>
      </w:r>
      <w:r>
        <w:t>40</w:t>
      </w:r>
      <w:r>
        <w:fldChar w:fldCharType="end"/>
      </w:r>
      <w:r>
        <w:rPr>
          <w:rFonts w:hint="eastAsia" w:ascii="Times New Roman" w:hAnsi="Times New Roman" w:eastAsia="方正仿宋_GB2312" w:cs="黑体"/>
          <w:color w:val="auto"/>
          <w:szCs w:val="32"/>
          <w:highlight w:val="none"/>
        </w:rPr>
        <w:fldChar w:fldCharType="end"/>
      </w:r>
    </w:p>
    <w:p w14:paraId="47F3023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_Toc21914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分类收运规划</w:t>
      </w:r>
      <w:r>
        <w:tab/>
      </w:r>
      <w:r>
        <w:fldChar w:fldCharType="begin"/>
      </w:r>
      <w:r>
        <w:instrText xml:space="preserve"> PAGEREF _Toc21914 \h </w:instrText>
      </w:r>
      <w:r>
        <w:fldChar w:fldCharType="separate"/>
      </w:r>
      <w:r>
        <w:t>40</w:t>
      </w:r>
      <w:r>
        <w:fldChar w:fldCharType="end"/>
      </w:r>
      <w:r>
        <w:rPr>
          <w:rFonts w:hint="eastAsia" w:ascii="Times New Roman" w:hAnsi="Times New Roman" w:eastAsia="方正仿宋_GB2312" w:cs="黑体"/>
          <w:color w:val="auto"/>
          <w:szCs w:val="32"/>
          <w:highlight w:val="none"/>
        </w:rPr>
        <w:fldChar w:fldCharType="end"/>
      </w:r>
    </w:p>
    <w:p w14:paraId="3088C52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_Toc7837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运输车辆、船舶要求</w:t>
      </w:r>
      <w:r>
        <w:tab/>
      </w:r>
      <w:r>
        <w:fldChar w:fldCharType="begin"/>
      </w:r>
      <w:r>
        <w:instrText xml:space="preserve"> PAGEREF _Toc7837 \h </w:instrText>
      </w:r>
      <w:r>
        <w:fldChar w:fldCharType="separate"/>
      </w:r>
      <w:r>
        <w:t>42</w:t>
      </w:r>
      <w:r>
        <w:fldChar w:fldCharType="end"/>
      </w:r>
      <w:r>
        <w:rPr>
          <w:rFonts w:hint="eastAsia" w:ascii="Times New Roman" w:hAnsi="Times New Roman" w:eastAsia="方正仿宋_GB2312" w:cs="黑体"/>
          <w:color w:val="auto"/>
          <w:szCs w:val="32"/>
          <w:highlight w:val="none"/>
        </w:rPr>
        <w:fldChar w:fldCharType="end"/>
      </w:r>
    </w:p>
    <w:p w14:paraId="20B8870F">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_Toc31972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收集点及中转设施选址与建设要求</w:t>
      </w:r>
      <w:r>
        <w:tab/>
      </w:r>
      <w:r>
        <w:fldChar w:fldCharType="begin"/>
      </w:r>
      <w:r>
        <w:instrText xml:space="preserve"> PAGEREF _Toc31972 \h </w:instrText>
      </w:r>
      <w:r>
        <w:fldChar w:fldCharType="separate"/>
      </w:r>
      <w:r>
        <w:t>43</w:t>
      </w:r>
      <w:r>
        <w:fldChar w:fldCharType="end"/>
      </w:r>
      <w:r>
        <w:rPr>
          <w:rFonts w:hint="eastAsia" w:ascii="Times New Roman" w:hAnsi="Times New Roman" w:eastAsia="方正仿宋_GB2312" w:cs="黑体"/>
          <w:color w:val="auto"/>
          <w:szCs w:val="32"/>
          <w:highlight w:val="none"/>
        </w:rPr>
        <w:fldChar w:fldCharType="end"/>
      </w:r>
    </w:p>
    <w:p w14:paraId="39BECFBA">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_Toc143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收集点及转运设施建设总体任务目标</w:t>
      </w:r>
      <w:r>
        <w:tab/>
      </w:r>
      <w:r>
        <w:fldChar w:fldCharType="begin"/>
      </w:r>
      <w:r>
        <w:instrText xml:space="preserve"> PAGEREF _Toc143 \h </w:instrText>
      </w:r>
      <w:r>
        <w:fldChar w:fldCharType="separate"/>
      </w:r>
      <w:r>
        <w:t>44</w:t>
      </w:r>
      <w:r>
        <w:fldChar w:fldCharType="end"/>
      </w:r>
      <w:r>
        <w:rPr>
          <w:rFonts w:hint="eastAsia" w:ascii="Times New Roman" w:hAnsi="Times New Roman" w:eastAsia="方正仿宋_GB2312" w:cs="黑体"/>
          <w:color w:val="auto"/>
          <w:szCs w:val="32"/>
          <w:highlight w:val="none"/>
        </w:rPr>
        <w:fldChar w:fldCharType="end"/>
      </w:r>
    </w:p>
    <w:p w14:paraId="1D24D966">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_Toc31419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收集点及转运设施运营与监督管理要求</w:t>
      </w:r>
      <w:r>
        <w:tab/>
      </w:r>
      <w:r>
        <w:fldChar w:fldCharType="begin"/>
      </w:r>
      <w:r>
        <w:instrText xml:space="preserve"> PAGEREF _Toc31419 \h </w:instrText>
      </w:r>
      <w:r>
        <w:fldChar w:fldCharType="separate"/>
      </w:r>
      <w:r>
        <w:t>46</w:t>
      </w:r>
      <w:r>
        <w:fldChar w:fldCharType="end"/>
      </w:r>
      <w:r>
        <w:rPr>
          <w:rFonts w:hint="eastAsia" w:ascii="Times New Roman" w:hAnsi="Times New Roman" w:eastAsia="方正仿宋_GB2312" w:cs="黑体"/>
          <w:color w:val="auto"/>
          <w:szCs w:val="32"/>
          <w:highlight w:val="none"/>
        </w:rPr>
        <w:fldChar w:fldCharType="end"/>
      </w:r>
    </w:p>
    <w:p w14:paraId="646348B4">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_Toc6811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七、</w:t>
      </w:r>
      <w:r>
        <w:rPr>
          <w:rFonts w:hint="eastAsia" w:ascii="仿宋" w:hAnsi="仿宋" w:eastAsia="仿宋" w:cs="仿宋"/>
          <w:bCs/>
          <w:spacing w:val="0"/>
          <w:szCs w:val="32"/>
          <w:highlight w:val="none"/>
          <w:lang w:val="en-US" w:eastAsia="zh-CN"/>
        </w:rPr>
        <w:t>建筑垃圾综合利用策略</w:t>
      </w:r>
      <w:r>
        <w:tab/>
      </w:r>
      <w:r>
        <w:fldChar w:fldCharType="begin"/>
      </w:r>
      <w:r>
        <w:instrText xml:space="preserve"> PAGEREF _Toc6811 \h </w:instrText>
      </w:r>
      <w:r>
        <w:fldChar w:fldCharType="separate"/>
      </w:r>
      <w:r>
        <w:t>47</w:t>
      </w:r>
      <w:r>
        <w:fldChar w:fldCharType="end"/>
      </w:r>
      <w:r>
        <w:rPr>
          <w:rFonts w:hint="eastAsia" w:ascii="Times New Roman" w:hAnsi="Times New Roman" w:eastAsia="方正仿宋_GB2312" w:cs="黑体"/>
          <w:color w:val="auto"/>
          <w:szCs w:val="32"/>
          <w:highlight w:val="none"/>
        </w:rPr>
        <w:fldChar w:fldCharType="end"/>
      </w:r>
    </w:p>
    <w:p w14:paraId="0C791CF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_Toc30207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建筑垃圾直接利用方式与路径</w:t>
      </w:r>
      <w:r>
        <w:tab/>
      </w:r>
      <w:r>
        <w:fldChar w:fldCharType="begin"/>
      </w:r>
      <w:r>
        <w:instrText xml:space="preserve"> PAGEREF _Toc30207 \h </w:instrText>
      </w:r>
      <w:r>
        <w:fldChar w:fldCharType="separate"/>
      </w:r>
      <w:r>
        <w:t>47</w:t>
      </w:r>
      <w:r>
        <w:fldChar w:fldCharType="end"/>
      </w:r>
      <w:r>
        <w:rPr>
          <w:rFonts w:hint="eastAsia" w:ascii="Times New Roman" w:hAnsi="Times New Roman" w:eastAsia="方正仿宋_GB2312" w:cs="黑体"/>
          <w:color w:val="auto"/>
          <w:szCs w:val="32"/>
          <w:highlight w:val="none"/>
        </w:rPr>
        <w:fldChar w:fldCharType="end"/>
      </w:r>
    </w:p>
    <w:p w14:paraId="1C3CA0C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_Toc16439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建筑垃圾资源化利用方式与路径</w:t>
      </w:r>
      <w:r>
        <w:tab/>
      </w:r>
      <w:r>
        <w:fldChar w:fldCharType="begin"/>
      </w:r>
      <w:r>
        <w:instrText xml:space="preserve"> PAGEREF _Toc16439 \h </w:instrText>
      </w:r>
      <w:r>
        <w:fldChar w:fldCharType="separate"/>
      </w:r>
      <w:r>
        <w:t>47</w:t>
      </w:r>
      <w:r>
        <w:fldChar w:fldCharType="end"/>
      </w:r>
      <w:r>
        <w:rPr>
          <w:rFonts w:hint="eastAsia" w:ascii="Times New Roman" w:hAnsi="Times New Roman" w:eastAsia="方正仿宋_GB2312" w:cs="黑体"/>
          <w:color w:val="auto"/>
          <w:szCs w:val="32"/>
          <w:highlight w:val="none"/>
        </w:rPr>
        <w:fldChar w:fldCharType="end"/>
      </w:r>
    </w:p>
    <w:p w14:paraId="6FAAA5E3">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_Toc25625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资源化利用项目选址与建设要求</w:t>
      </w:r>
      <w:r>
        <w:tab/>
      </w:r>
      <w:r>
        <w:fldChar w:fldCharType="begin"/>
      </w:r>
      <w:r>
        <w:instrText xml:space="preserve"> PAGEREF _Toc25625 \h </w:instrText>
      </w:r>
      <w:r>
        <w:fldChar w:fldCharType="separate"/>
      </w:r>
      <w:r>
        <w:t>48</w:t>
      </w:r>
      <w:r>
        <w:fldChar w:fldCharType="end"/>
      </w:r>
      <w:r>
        <w:rPr>
          <w:rFonts w:hint="eastAsia" w:ascii="Times New Roman" w:hAnsi="Times New Roman" w:eastAsia="方正仿宋_GB2312" w:cs="黑体"/>
          <w:color w:val="auto"/>
          <w:szCs w:val="32"/>
          <w:highlight w:val="none"/>
        </w:rPr>
        <w:fldChar w:fldCharType="end"/>
      </w:r>
    </w:p>
    <w:p w14:paraId="21843D8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_Toc27078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资源化项目建设总体任务目标</w:t>
      </w:r>
      <w:r>
        <w:tab/>
      </w:r>
      <w:r>
        <w:fldChar w:fldCharType="begin"/>
      </w:r>
      <w:r>
        <w:instrText xml:space="preserve"> PAGEREF _Toc27078 \h </w:instrText>
      </w:r>
      <w:r>
        <w:fldChar w:fldCharType="separate"/>
      </w:r>
      <w:r>
        <w:t>49</w:t>
      </w:r>
      <w:r>
        <w:fldChar w:fldCharType="end"/>
      </w:r>
      <w:r>
        <w:rPr>
          <w:rFonts w:hint="eastAsia" w:ascii="Times New Roman" w:hAnsi="Times New Roman" w:eastAsia="方正仿宋_GB2312" w:cs="黑体"/>
          <w:color w:val="auto"/>
          <w:szCs w:val="32"/>
          <w:highlight w:val="none"/>
        </w:rPr>
        <w:fldChar w:fldCharType="end"/>
      </w:r>
    </w:p>
    <w:p w14:paraId="5420AD56">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_Toc23029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资源化利用项目运营与监督管理要求</w:t>
      </w:r>
      <w:r>
        <w:tab/>
      </w:r>
      <w:r>
        <w:fldChar w:fldCharType="begin"/>
      </w:r>
      <w:r>
        <w:instrText xml:space="preserve"> PAGEREF _Toc23029 \h </w:instrText>
      </w:r>
      <w:r>
        <w:fldChar w:fldCharType="separate"/>
      </w:r>
      <w:r>
        <w:t>50</w:t>
      </w:r>
      <w:r>
        <w:fldChar w:fldCharType="end"/>
      </w:r>
      <w:r>
        <w:rPr>
          <w:rFonts w:hint="eastAsia" w:ascii="Times New Roman" w:hAnsi="Times New Roman" w:eastAsia="方正仿宋_GB2312" w:cs="黑体"/>
          <w:color w:val="auto"/>
          <w:szCs w:val="32"/>
          <w:highlight w:val="none"/>
        </w:rPr>
        <w:fldChar w:fldCharType="end"/>
      </w:r>
    </w:p>
    <w:p w14:paraId="38810D18">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_Toc17975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（六）</w:t>
      </w:r>
      <w:r>
        <w:rPr>
          <w:rFonts w:hint="eastAsia" w:ascii="仿宋" w:hAnsi="仿宋" w:eastAsia="仿宋" w:cs="仿宋"/>
          <w:bCs w:val="0"/>
          <w:spacing w:val="0"/>
          <w:kern w:val="2"/>
          <w:szCs w:val="32"/>
          <w:highlight w:val="none"/>
          <w:lang w:val="en-US" w:eastAsia="zh-CN" w:bidi="ar-SA"/>
        </w:rPr>
        <w:t>资源化利用扶持政策</w:t>
      </w:r>
      <w:r>
        <w:tab/>
      </w:r>
      <w:r>
        <w:fldChar w:fldCharType="begin"/>
      </w:r>
      <w:r>
        <w:instrText xml:space="preserve"> PAGEREF _Toc17975 \h </w:instrText>
      </w:r>
      <w:r>
        <w:fldChar w:fldCharType="separate"/>
      </w:r>
      <w:r>
        <w:t>50</w:t>
      </w:r>
      <w:r>
        <w:fldChar w:fldCharType="end"/>
      </w:r>
      <w:r>
        <w:rPr>
          <w:rFonts w:hint="eastAsia" w:ascii="Times New Roman" w:hAnsi="Times New Roman" w:eastAsia="方正仿宋_GB2312" w:cs="黑体"/>
          <w:color w:val="auto"/>
          <w:szCs w:val="32"/>
          <w:highlight w:val="none"/>
        </w:rPr>
        <w:fldChar w:fldCharType="end"/>
      </w:r>
    </w:p>
    <w:p w14:paraId="6B561AF4">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_Toc18865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八、</w:t>
      </w:r>
      <w:r>
        <w:rPr>
          <w:rFonts w:hint="eastAsia" w:ascii="仿宋" w:hAnsi="仿宋" w:eastAsia="仿宋" w:cs="仿宋"/>
          <w:bCs/>
          <w:spacing w:val="0"/>
          <w:szCs w:val="32"/>
          <w:highlight w:val="none"/>
          <w:lang w:val="en-US" w:eastAsia="zh-CN"/>
        </w:rPr>
        <w:t>末端消纳与跨区域处置污染防治策略</w:t>
      </w:r>
      <w:r>
        <w:tab/>
      </w:r>
      <w:r>
        <w:fldChar w:fldCharType="begin"/>
      </w:r>
      <w:r>
        <w:instrText xml:space="preserve"> PAGEREF _Toc18865 \h </w:instrText>
      </w:r>
      <w:r>
        <w:fldChar w:fldCharType="separate"/>
      </w:r>
      <w:r>
        <w:t>52</w:t>
      </w:r>
      <w:r>
        <w:fldChar w:fldCharType="end"/>
      </w:r>
      <w:r>
        <w:rPr>
          <w:rFonts w:hint="eastAsia" w:ascii="Times New Roman" w:hAnsi="Times New Roman" w:eastAsia="方正仿宋_GB2312" w:cs="黑体"/>
          <w:color w:val="auto"/>
          <w:szCs w:val="32"/>
          <w:highlight w:val="none"/>
        </w:rPr>
        <w:fldChar w:fldCharType="end"/>
      </w:r>
    </w:p>
    <w:p w14:paraId="2295ACC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_Toc10867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无害化处置策略与原则</w:t>
      </w:r>
      <w:r>
        <w:tab/>
      </w:r>
      <w:r>
        <w:fldChar w:fldCharType="begin"/>
      </w:r>
      <w:r>
        <w:instrText xml:space="preserve"> PAGEREF _Toc10867 \h </w:instrText>
      </w:r>
      <w:r>
        <w:fldChar w:fldCharType="separate"/>
      </w:r>
      <w:r>
        <w:t>52</w:t>
      </w:r>
      <w:r>
        <w:fldChar w:fldCharType="end"/>
      </w:r>
      <w:r>
        <w:rPr>
          <w:rFonts w:hint="eastAsia" w:ascii="Times New Roman" w:hAnsi="Times New Roman" w:eastAsia="方正仿宋_GB2312" w:cs="黑体"/>
          <w:color w:val="auto"/>
          <w:szCs w:val="32"/>
          <w:highlight w:val="none"/>
        </w:rPr>
        <w:fldChar w:fldCharType="end"/>
      </w:r>
    </w:p>
    <w:p w14:paraId="20B4526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_Toc15053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消纳场（含临时）选址与建设要求</w:t>
      </w:r>
      <w:r>
        <w:tab/>
      </w:r>
      <w:r>
        <w:fldChar w:fldCharType="begin"/>
      </w:r>
      <w:r>
        <w:instrText xml:space="preserve"> PAGEREF _Toc15053 \h </w:instrText>
      </w:r>
      <w:r>
        <w:fldChar w:fldCharType="separate"/>
      </w:r>
      <w:r>
        <w:t>52</w:t>
      </w:r>
      <w:r>
        <w:fldChar w:fldCharType="end"/>
      </w:r>
      <w:r>
        <w:rPr>
          <w:rFonts w:hint="eastAsia" w:ascii="Times New Roman" w:hAnsi="Times New Roman" w:eastAsia="方正仿宋_GB2312" w:cs="黑体"/>
          <w:color w:val="auto"/>
          <w:szCs w:val="32"/>
          <w:highlight w:val="none"/>
        </w:rPr>
        <w:fldChar w:fldCharType="end"/>
      </w:r>
    </w:p>
    <w:p w14:paraId="7035BA81">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_Toc21833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消纳场（含临时）总体任务目标</w:t>
      </w:r>
      <w:r>
        <w:tab/>
      </w:r>
      <w:r>
        <w:fldChar w:fldCharType="begin"/>
      </w:r>
      <w:r>
        <w:instrText xml:space="preserve"> PAGEREF _Toc21833 \h </w:instrText>
      </w:r>
      <w:r>
        <w:fldChar w:fldCharType="separate"/>
      </w:r>
      <w:r>
        <w:t>53</w:t>
      </w:r>
      <w:r>
        <w:fldChar w:fldCharType="end"/>
      </w:r>
      <w:r>
        <w:rPr>
          <w:rFonts w:hint="eastAsia" w:ascii="Times New Roman" w:hAnsi="Times New Roman" w:eastAsia="方正仿宋_GB2312" w:cs="黑体"/>
          <w:color w:val="auto"/>
          <w:szCs w:val="32"/>
          <w:highlight w:val="none"/>
        </w:rPr>
        <w:fldChar w:fldCharType="end"/>
      </w:r>
    </w:p>
    <w:p w14:paraId="453A96BB">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_Toc14570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消纳场运营与监督管理要求</w:t>
      </w:r>
      <w:r>
        <w:tab/>
      </w:r>
      <w:r>
        <w:fldChar w:fldCharType="begin"/>
      </w:r>
      <w:r>
        <w:instrText xml:space="preserve"> PAGEREF _Toc14570 \h </w:instrText>
      </w:r>
      <w:r>
        <w:fldChar w:fldCharType="separate"/>
      </w:r>
      <w:r>
        <w:t>54</w:t>
      </w:r>
      <w:r>
        <w:fldChar w:fldCharType="end"/>
      </w:r>
      <w:r>
        <w:rPr>
          <w:rFonts w:hint="eastAsia" w:ascii="Times New Roman" w:hAnsi="Times New Roman" w:eastAsia="方正仿宋_GB2312" w:cs="黑体"/>
          <w:color w:val="auto"/>
          <w:szCs w:val="32"/>
          <w:highlight w:val="none"/>
        </w:rPr>
        <w:fldChar w:fldCharType="end"/>
      </w:r>
    </w:p>
    <w:p w14:paraId="7BC22C1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_Toc29630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区域处置规划</w:t>
      </w:r>
      <w:r>
        <w:tab/>
      </w:r>
      <w:r>
        <w:fldChar w:fldCharType="begin"/>
      </w:r>
      <w:r>
        <w:instrText xml:space="preserve"> PAGEREF _Toc29630 \h </w:instrText>
      </w:r>
      <w:r>
        <w:fldChar w:fldCharType="separate"/>
      </w:r>
      <w:r>
        <w:t>54</w:t>
      </w:r>
      <w:r>
        <w:fldChar w:fldCharType="end"/>
      </w:r>
      <w:r>
        <w:rPr>
          <w:rFonts w:hint="eastAsia" w:ascii="Times New Roman" w:hAnsi="Times New Roman" w:eastAsia="方正仿宋_GB2312" w:cs="黑体"/>
          <w:color w:val="auto"/>
          <w:szCs w:val="32"/>
          <w:highlight w:val="none"/>
        </w:rPr>
        <w:fldChar w:fldCharType="end"/>
      </w:r>
    </w:p>
    <w:p w14:paraId="48DA7D38">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_Toc21837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（六）</w:t>
      </w:r>
      <w:r>
        <w:rPr>
          <w:rFonts w:hint="eastAsia" w:ascii="仿宋" w:hAnsi="仿宋" w:eastAsia="仿宋" w:cs="仿宋"/>
          <w:bCs w:val="0"/>
          <w:spacing w:val="0"/>
          <w:kern w:val="2"/>
          <w:szCs w:val="32"/>
          <w:highlight w:val="none"/>
          <w:lang w:val="en-US" w:eastAsia="zh-CN" w:bidi="ar-SA"/>
        </w:rPr>
        <w:t>跨市处置要求与规划</w:t>
      </w:r>
      <w:r>
        <w:tab/>
      </w:r>
      <w:r>
        <w:fldChar w:fldCharType="begin"/>
      </w:r>
      <w:r>
        <w:instrText xml:space="preserve"> PAGEREF _Toc21837 \h </w:instrText>
      </w:r>
      <w:r>
        <w:fldChar w:fldCharType="separate"/>
      </w:r>
      <w:r>
        <w:t>55</w:t>
      </w:r>
      <w:r>
        <w:fldChar w:fldCharType="end"/>
      </w:r>
      <w:r>
        <w:rPr>
          <w:rFonts w:hint="eastAsia" w:ascii="Times New Roman" w:hAnsi="Times New Roman" w:eastAsia="方正仿宋_GB2312" w:cs="黑体"/>
          <w:color w:val="auto"/>
          <w:szCs w:val="32"/>
          <w:highlight w:val="none"/>
        </w:rPr>
        <w:fldChar w:fldCharType="end"/>
      </w:r>
    </w:p>
    <w:p w14:paraId="61125EA3">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_Toc28911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（七）</w:t>
      </w:r>
      <w:r>
        <w:rPr>
          <w:rFonts w:hint="eastAsia" w:ascii="仿宋" w:hAnsi="仿宋" w:eastAsia="仿宋" w:cs="仿宋"/>
          <w:bCs w:val="0"/>
          <w:spacing w:val="0"/>
          <w:kern w:val="2"/>
          <w:szCs w:val="32"/>
          <w:highlight w:val="none"/>
          <w:lang w:val="en-US" w:eastAsia="zh-CN" w:bidi="ar-SA"/>
        </w:rPr>
        <w:t>建筑垃圾存量治理原则</w:t>
      </w:r>
      <w:r>
        <w:tab/>
      </w:r>
      <w:r>
        <w:fldChar w:fldCharType="begin"/>
      </w:r>
      <w:r>
        <w:instrText xml:space="preserve"> PAGEREF _Toc28911 \h </w:instrText>
      </w:r>
      <w:r>
        <w:fldChar w:fldCharType="separate"/>
      </w:r>
      <w:r>
        <w:t>56</w:t>
      </w:r>
      <w:r>
        <w:fldChar w:fldCharType="end"/>
      </w:r>
      <w:r>
        <w:rPr>
          <w:rFonts w:hint="eastAsia" w:ascii="Times New Roman" w:hAnsi="Times New Roman" w:eastAsia="方正仿宋_GB2312" w:cs="黑体"/>
          <w:color w:val="auto"/>
          <w:szCs w:val="32"/>
          <w:highlight w:val="none"/>
        </w:rPr>
        <w:fldChar w:fldCharType="end"/>
      </w:r>
    </w:p>
    <w:p w14:paraId="4AE518A2">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_Toc14794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九、</w:t>
      </w:r>
      <w:r>
        <w:rPr>
          <w:rFonts w:hint="eastAsia" w:ascii="仿宋" w:hAnsi="仿宋" w:eastAsia="仿宋" w:cs="仿宋"/>
          <w:bCs/>
          <w:spacing w:val="0"/>
          <w:szCs w:val="32"/>
          <w:highlight w:val="none"/>
          <w:lang w:val="en-US" w:eastAsia="zh-CN"/>
        </w:rPr>
        <w:t>环境污染防治措施</w:t>
      </w:r>
      <w:r>
        <w:tab/>
      </w:r>
      <w:r>
        <w:fldChar w:fldCharType="begin"/>
      </w:r>
      <w:r>
        <w:instrText xml:space="preserve"> PAGEREF _Toc14794 \h </w:instrText>
      </w:r>
      <w:r>
        <w:fldChar w:fldCharType="separate"/>
      </w:r>
      <w:r>
        <w:t>58</w:t>
      </w:r>
      <w:r>
        <w:fldChar w:fldCharType="end"/>
      </w:r>
      <w:r>
        <w:rPr>
          <w:rFonts w:hint="eastAsia" w:ascii="Times New Roman" w:hAnsi="Times New Roman" w:eastAsia="方正仿宋_GB2312" w:cs="黑体"/>
          <w:color w:val="auto"/>
          <w:szCs w:val="32"/>
          <w:highlight w:val="none"/>
        </w:rPr>
        <w:fldChar w:fldCharType="end"/>
      </w:r>
    </w:p>
    <w:p w14:paraId="1E7EC1C2">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_Toc13795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建筑垃圾污染防控措施</w:t>
      </w:r>
      <w:r>
        <w:tab/>
      </w:r>
      <w:r>
        <w:fldChar w:fldCharType="begin"/>
      </w:r>
      <w:r>
        <w:instrText xml:space="preserve"> PAGEREF _Toc13795 \h </w:instrText>
      </w:r>
      <w:r>
        <w:fldChar w:fldCharType="separate"/>
      </w:r>
      <w:r>
        <w:t>58</w:t>
      </w:r>
      <w:r>
        <w:fldChar w:fldCharType="end"/>
      </w:r>
      <w:r>
        <w:rPr>
          <w:rFonts w:hint="eastAsia" w:ascii="Times New Roman" w:hAnsi="Times New Roman" w:eastAsia="方正仿宋_GB2312" w:cs="黑体"/>
          <w:color w:val="auto"/>
          <w:szCs w:val="32"/>
          <w:highlight w:val="none"/>
        </w:rPr>
        <w:fldChar w:fldCharType="end"/>
      </w:r>
    </w:p>
    <w:p w14:paraId="639BCF25">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_Toc32711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水环境保护与防治</w:t>
      </w:r>
      <w:r>
        <w:tab/>
      </w:r>
      <w:r>
        <w:fldChar w:fldCharType="begin"/>
      </w:r>
      <w:r>
        <w:instrText xml:space="preserve"> PAGEREF _Toc32711 \h </w:instrText>
      </w:r>
      <w:r>
        <w:fldChar w:fldCharType="separate"/>
      </w:r>
      <w:r>
        <w:t>61</w:t>
      </w:r>
      <w:r>
        <w:fldChar w:fldCharType="end"/>
      </w:r>
      <w:r>
        <w:rPr>
          <w:rFonts w:hint="eastAsia" w:ascii="Times New Roman" w:hAnsi="Times New Roman" w:eastAsia="方正仿宋_GB2312" w:cs="黑体"/>
          <w:color w:val="auto"/>
          <w:szCs w:val="32"/>
          <w:highlight w:val="none"/>
        </w:rPr>
        <w:fldChar w:fldCharType="end"/>
      </w:r>
    </w:p>
    <w:p w14:paraId="2716EFE8">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_Toc24828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大气环境保护与防治</w:t>
      </w:r>
      <w:r>
        <w:tab/>
      </w:r>
      <w:r>
        <w:fldChar w:fldCharType="begin"/>
      </w:r>
      <w:r>
        <w:instrText xml:space="preserve"> PAGEREF _Toc24828 \h </w:instrText>
      </w:r>
      <w:r>
        <w:fldChar w:fldCharType="separate"/>
      </w:r>
      <w:r>
        <w:t>62</w:t>
      </w:r>
      <w:r>
        <w:fldChar w:fldCharType="end"/>
      </w:r>
      <w:r>
        <w:rPr>
          <w:rFonts w:hint="eastAsia" w:ascii="Times New Roman" w:hAnsi="Times New Roman" w:eastAsia="方正仿宋_GB2312" w:cs="黑体"/>
          <w:color w:val="auto"/>
          <w:szCs w:val="32"/>
          <w:highlight w:val="none"/>
        </w:rPr>
        <w:fldChar w:fldCharType="end"/>
      </w:r>
    </w:p>
    <w:p w14:paraId="2BEA8CE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_Toc21610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噪声环境保护与防治</w:t>
      </w:r>
      <w:r>
        <w:tab/>
      </w:r>
      <w:r>
        <w:fldChar w:fldCharType="begin"/>
      </w:r>
      <w:r>
        <w:instrText xml:space="preserve"> PAGEREF _Toc21610 \h </w:instrText>
      </w:r>
      <w:r>
        <w:fldChar w:fldCharType="separate"/>
      </w:r>
      <w:r>
        <w:t>62</w:t>
      </w:r>
      <w:r>
        <w:fldChar w:fldCharType="end"/>
      </w:r>
      <w:r>
        <w:rPr>
          <w:rFonts w:hint="eastAsia" w:ascii="Times New Roman" w:hAnsi="Times New Roman" w:eastAsia="方正仿宋_GB2312" w:cs="黑体"/>
          <w:color w:val="auto"/>
          <w:szCs w:val="32"/>
          <w:highlight w:val="none"/>
        </w:rPr>
        <w:fldChar w:fldCharType="end"/>
      </w:r>
    </w:p>
    <w:p w14:paraId="5299E067">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_Toc31212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土壤环境保护与防治</w:t>
      </w:r>
      <w:r>
        <w:tab/>
      </w:r>
      <w:r>
        <w:fldChar w:fldCharType="begin"/>
      </w:r>
      <w:r>
        <w:instrText xml:space="preserve"> PAGEREF _Toc31212 \h </w:instrText>
      </w:r>
      <w:r>
        <w:fldChar w:fldCharType="separate"/>
      </w:r>
      <w:r>
        <w:t>63</w:t>
      </w:r>
      <w:r>
        <w:fldChar w:fldCharType="end"/>
      </w:r>
      <w:r>
        <w:rPr>
          <w:rFonts w:hint="eastAsia" w:ascii="Times New Roman" w:hAnsi="Times New Roman" w:eastAsia="方正仿宋_GB2312" w:cs="黑体"/>
          <w:color w:val="auto"/>
          <w:szCs w:val="32"/>
          <w:highlight w:val="none"/>
        </w:rPr>
        <w:fldChar w:fldCharType="end"/>
      </w:r>
    </w:p>
    <w:p w14:paraId="0A371252">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_Toc31542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（六）</w:t>
      </w:r>
      <w:r>
        <w:rPr>
          <w:rFonts w:hint="eastAsia" w:ascii="仿宋" w:hAnsi="仿宋" w:eastAsia="仿宋" w:cs="仿宋"/>
          <w:bCs w:val="0"/>
          <w:spacing w:val="0"/>
          <w:kern w:val="2"/>
          <w:szCs w:val="32"/>
          <w:highlight w:val="none"/>
          <w:lang w:val="en-US" w:eastAsia="zh-CN" w:bidi="ar-SA"/>
        </w:rPr>
        <w:t>水土流失、地质灾害防治</w:t>
      </w:r>
      <w:r>
        <w:tab/>
      </w:r>
      <w:r>
        <w:fldChar w:fldCharType="begin"/>
      </w:r>
      <w:r>
        <w:instrText xml:space="preserve"> PAGEREF _Toc31542 \h </w:instrText>
      </w:r>
      <w:r>
        <w:fldChar w:fldCharType="separate"/>
      </w:r>
      <w:r>
        <w:t>64</w:t>
      </w:r>
      <w:r>
        <w:fldChar w:fldCharType="end"/>
      </w:r>
      <w:r>
        <w:rPr>
          <w:rFonts w:hint="eastAsia" w:ascii="Times New Roman" w:hAnsi="Times New Roman" w:eastAsia="方正仿宋_GB2312" w:cs="黑体"/>
          <w:color w:val="auto"/>
          <w:szCs w:val="32"/>
          <w:highlight w:val="none"/>
        </w:rPr>
        <w:fldChar w:fldCharType="end"/>
      </w:r>
    </w:p>
    <w:p w14:paraId="12381031">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_Toc3671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十、</w:t>
      </w:r>
      <w:r>
        <w:rPr>
          <w:rFonts w:hint="eastAsia" w:ascii="仿宋" w:hAnsi="仿宋" w:eastAsia="仿宋" w:cs="仿宋"/>
          <w:bCs/>
          <w:spacing w:val="0"/>
          <w:szCs w:val="32"/>
          <w:highlight w:val="none"/>
          <w:lang w:val="en-US" w:eastAsia="zh-CN"/>
        </w:rPr>
        <w:t>管理体系规划</w:t>
      </w:r>
      <w:r>
        <w:tab/>
      </w:r>
      <w:r>
        <w:fldChar w:fldCharType="begin"/>
      </w:r>
      <w:r>
        <w:instrText xml:space="preserve"> PAGEREF _Toc3671 \h </w:instrText>
      </w:r>
      <w:r>
        <w:fldChar w:fldCharType="separate"/>
      </w:r>
      <w:r>
        <w:t>65</w:t>
      </w:r>
      <w:r>
        <w:fldChar w:fldCharType="end"/>
      </w:r>
      <w:r>
        <w:rPr>
          <w:rFonts w:hint="eastAsia" w:ascii="Times New Roman" w:hAnsi="Times New Roman" w:eastAsia="方正仿宋_GB2312" w:cs="黑体"/>
          <w:color w:val="auto"/>
          <w:szCs w:val="32"/>
          <w:highlight w:val="none"/>
        </w:rPr>
        <w:fldChar w:fldCharType="end"/>
      </w:r>
    </w:p>
    <w:p w14:paraId="5308587B">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_Toc2727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处置核准及方案备案机制</w:t>
      </w:r>
      <w:r>
        <w:tab/>
      </w:r>
      <w:r>
        <w:fldChar w:fldCharType="begin"/>
      </w:r>
      <w:r>
        <w:instrText xml:space="preserve"> PAGEREF _Toc2727 \h </w:instrText>
      </w:r>
      <w:r>
        <w:fldChar w:fldCharType="separate"/>
      </w:r>
      <w:r>
        <w:t>65</w:t>
      </w:r>
      <w:r>
        <w:fldChar w:fldCharType="end"/>
      </w:r>
      <w:r>
        <w:rPr>
          <w:rFonts w:hint="eastAsia" w:ascii="Times New Roman" w:hAnsi="Times New Roman" w:eastAsia="方正仿宋_GB2312" w:cs="黑体"/>
          <w:color w:val="auto"/>
          <w:szCs w:val="32"/>
          <w:highlight w:val="none"/>
        </w:rPr>
        <w:fldChar w:fldCharType="end"/>
      </w:r>
    </w:p>
    <w:p w14:paraId="091AF6C8">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_Toc17549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全过程联单管理机制</w:t>
      </w:r>
      <w:r>
        <w:tab/>
      </w:r>
      <w:r>
        <w:fldChar w:fldCharType="begin"/>
      </w:r>
      <w:r>
        <w:instrText xml:space="preserve"> PAGEREF _Toc17549 \h </w:instrText>
      </w:r>
      <w:r>
        <w:fldChar w:fldCharType="separate"/>
      </w:r>
      <w:r>
        <w:t>65</w:t>
      </w:r>
      <w:r>
        <w:fldChar w:fldCharType="end"/>
      </w:r>
      <w:r>
        <w:rPr>
          <w:rFonts w:hint="eastAsia" w:ascii="Times New Roman" w:hAnsi="Times New Roman" w:eastAsia="方正仿宋_GB2312" w:cs="黑体"/>
          <w:color w:val="auto"/>
          <w:szCs w:val="32"/>
          <w:highlight w:val="none"/>
        </w:rPr>
        <w:fldChar w:fldCharType="end"/>
      </w:r>
    </w:p>
    <w:p w14:paraId="2DA6ED2C">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_Toc23178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跨区域平衡处置和生态补偿机制</w:t>
      </w:r>
      <w:r>
        <w:tab/>
      </w:r>
      <w:r>
        <w:fldChar w:fldCharType="begin"/>
      </w:r>
      <w:r>
        <w:instrText xml:space="preserve"> PAGEREF _Toc23178 \h </w:instrText>
      </w:r>
      <w:r>
        <w:fldChar w:fldCharType="separate"/>
      </w:r>
      <w:r>
        <w:t>66</w:t>
      </w:r>
      <w:r>
        <w:fldChar w:fldCharType="end"/>
      </w:r>
      <w:r>
        <w:rPr>
          <w:rFonts w:hint="eastAsia" w:ascii="Times New Roman" w:hAnsi="Times New Roman" w:eastAsia="方正仿宋_GB2312" w:cs="黑体"/>
          <w:color w:val="auto"/>
          <w:szCs w:val="32"/>
          <w:highlight w:val="none"/>
        </w:rPr>
        <w:fldChar w:fldCharType="end"/>
      </w:r>
    </w:p>
    <w:p w14:paraId="64B11973">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_Toc7420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政府扶持机制</w:t>
      </w:r>
      <w:r>
        <w:tab/>
      </w:r>
      <w:r>
        <w:fldChar w:fldCharType="begin"/>
      </w:r>
      <w:r>
        <w:instrText xml:space="preserve"> PAGEREF _Toc7420 \h </w:instrText>
      </w:r>
      <w:r>
        <w:fldChar w:fldCharType="separate"/>
      </w:r>
      <w:r>
        <w:t>66</w:t>
      </w:r>
      <w:r>
        <w:fldChar w:fldCharType="end"/>
      </w:r>
      <w:r>
        <w:rPr>
          <w:rFonts w:hint="eastAsia" w:ascii="Times New Roman" w:hAnsi="Times New Roman" w:eastAsia="方正仿宋_GB2312" w:cs="黑体"/>
          <w:color w:val="auto"/>
          <w:szCs w:val="32"/>
          <w:highlight w:val="none"/>
        </w:rPr>
        <w:fldChar w:fldCharType="end"/>
      </w:r>
    </w:p>
    <w:p w14:paraId="01C0EC8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_Toc6683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源头责任机制</w:t>
      </w:r>
      <w:r>
        <w:tab/>
      </w:r>
      <w:r>
        <w:fldChar w:fldCharType="begin"/>
      </w:r>
      <w:r>
        <w:instrText xml:space="preserve"> PAGEREF _Toc6683 \h </w:instrText>
      </w:r>
      <w:r>
        <w:fldChar w:fldCharType="separate"/>
      </w:r>
      <w:r>
        <w:t>66</w:t>
      </w:r>
      <w:r>
        <w:fldChar w:fldCharType="end"/>
      </w:r>
      <w:r>
        <w:rPr>
          <w:rFonts w:hint="eastAsia" w:ascii="Times New Roman" w:hAnsi="Times New Roman" w:eastAsia="方正仿宋_GB2312" w:cs="黑体"/>
          <w:color w:val="auto"/>
          <w:szCs w:val="32"/>
          <w:highlight w:val="none"/>
        </w:rPr>
        <w:fldChar w:fldCharType="end"/>
      </w:r>
    </w:p>
    <w:p w14:paraId="467D7CF6">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_Toc8268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（六）</w:t>
      </w:r>
      <w:r>
        <w:rPr>
          <w:rFonts w:hint="eastAsia" w:ascii="仿宋" w:hAnsi="仿宋" w:eastAsia="仿宋" w:cs="仿宋"/>
          <w:bCs w:val="0"/>
          <w:spacing w:val="0"/>
          <w:kern w:val="2"/>
          <w:szCs w:val="32"/>
          <w:highlight w:val="none"/>
          <w:lang w:val="en-US" w:eastAsia="zh-CN" w:bidi="ar-SA"/>
        </w:rPr>
        <w:t>联合执法机制</w:t>
      </w:r>
      <w:r>
        <w:tab/>
      </w:r>
      <w:r>
        <w:fldChar w:fldCharType="begin"/>
      </w:r>
      <w:r>
        <w:instrText xml:space="preserve"> PAGEREF _Toc8268 \h </w:instrText>
      </w:r>
      <w:r>
        <w:fldChar w:fldCharType="separate"/>
      </w:r>
      <w:r>
        <w:t>67</w:t>
      </w:r>
      <w:r>
        <w:fldChar w:fldCharType="end"/>
      </w:r>
      <w:r>
        <w:rPr>
          <w:rFonts w:hint="eastAsia" w:ascii="Times New Roman" w:hAnsi="Times New Roman" w:eastAsia="方正仿宋_GB2312" w:cs="黑体"/>
          <w:color w:val="auto"/>
          <w:szCs w:val="32"/>
          <w:highlight w:val="none"/>
        </w:rPr>
        <w:fldChar w:fldCharType="end"/>
      </w:r>
    </w:p>
    <w:p w14:paraId="105940EA">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_Toc29759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（七）</w:t>
      </w:r>
      <w:r>
        <w:rPr>
          <w:rFonts w:hint="eastAsia" w:ascii="仿宋" w:hAnsi="仿宋" w:eastAsia="仿宋" w:cs="仿宋"/>
          <w:bCs w:val="0"/>
          <w:spacing w:val="0"/>
          <w:kern w:val="2"/>
          <w:szCs w:val="32"/>
          <w:highlight w:val="none"/>
          <w:lang w:val="en-US" w:eastAsia="zh-CN" w:bidi="ar-SA"/>
        </w:rPr>
        <w:t>投诉举报机制</w:t>
      </w:r>
      <w:r>
        <w:tab/>
      </w:r>
      <w:r>
        <w:fldChar w:fldCharType="begin"/>
      </w:r>
      <w:r>
        <w:instrText xml:space="preserve"> PAGEREF _Toc29759 \h </w:instrText>
      </w:r>
      <w:r>
        <w:fldChar w:fldCharType="separate"/>
      </w:r>
      <w:r>
        <w:t>67</w:t>
      </w:r>
      <w:r>
        <w:fldChar w:fldCharType="end"/>
      </w:r>
      <w:r>
        <w:rPr>
          <w:rFonts w:hint="eastAsia" w:ascii="Times New Roman" w:hAnsi="Times New Roman" w:eastAsia="方正仿宋_GB2312" w:cs="黑体"/>
          <w:color w:val="auto"/>
          <w:szCs w:val="32"/>
          <w:highlight w:val="none"/>
        </w:rPr>
        <w:fldChar w:fldCharType="end"/>
      </w:r>
    </w:p>
    <w:p w14:paraId="37D2B677">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_Toc26435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（八）</w:t>
      </w:r>
      <w:r>
        <w:rPr>
          <w:rFonts w:hint="eastAsia" w:ascii="仿宋" w:hAnsi="仿宋" w:eastAsia="仿宋" w:cs="仿宋"/>
          <w:bCs w:val="0"/>
          <w:spacing w:val="0"/>
          <w:kern w:val="2"/>
          <w:szCs w:val="32"/>
          <w:highlight w:val="none"/>
          <w:lang w:val="en-US" w:eastAsia="zh-CN" w:bidi="ar-SA"/>
        </w:rPr>
        <w:t>探索付费机制</w:t>
      </w:r>
      <w:r>
        <w:tab/>
      </w:r>
      <w:r>
        <w:fldChar w:fldCharType="begin"/>
      </w:r>
      <w:r>
        <w:instrText xml:space="preserve"> PAGEREF _Toc26435 \h </w:instrText>
      </w:r>
      <w:r>
        <w:fldChar w:fldCharType="separate"/>
      </w:r>
      <w:r>
        <w:t>67</w:t>
      </w:r>
      <w:r>
        <w:fldChar w:fldCharType="end"/>
      </w:r>
      <w:r>
        <w:rPr>
          <w:rFonts w:hint="eastAsia" w:ascii="Times New Roman" w:hAnsi="Times New Roman" w:eastAsia="方正仿宋_GB2312" w:cs="黑体"/>
          <w:color w:val="auto"/>
          <w:szCs w:val="32"/>
          <w:highlight w:val="none"/>
        </w:rPr>
        <w:fldChar w:fldCharType="end"/>
      </w:r>
    </w:p>
    <w:p w14:paraId="32AEB575">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_Toc6732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十一、</w:t>
      </w:r>
      <w:r>
        <w:rPr>
          <w:rFonts w:hint="eastAsia" w:ascii="仿宋" w:hAnsi="仿宋" w:eastAsia="仿宋" w:cs="仿宋"/>
          <w:bCs/>
          <w:spacing w:val="0"/>
          <w:kern w:val="0"/>
          <w:szCs w:val="32"/>
          <w:highlight w:val="none"/>
          <w:lang w:val="en-US" w:eastAsia="zh-CN" w:bidi="ar-SA"/>
        </w:rPr>
        <w:t>实施计划</w:t>
      </w:r>
      <w:r>
        <w:tab/>
      </w:r>
      <w:r>
        <w:fldChar w:fldCharType="begin"/>
      </w:r>
      <w:r>
        <w:instrText xml:space="preserve"> PAGEREF _Toc6732 \h </w:instrText>
      </w:r>
      <w:r>
        <w:fldChar w:fldCharType="separate"/>
      </w:r>
      <w:r>
        <w:t>69</w:t>
      </w:r>
      <w:r>
        <w:fldChar w:fldCharType="end"/>
      </w:r>
      <w:r>
        <w:rPr>
          <w:rFonts w:hint="eastAsia" w:ascii="Times New Roman" w:hAnsi="Times New Roman" w:eastAsia="方正仿宋_GB2312" w:cs="黑体"/>
          <w:color w:val="auto"/>
          <w:szCs w:val="32"/>
          <w:highlight w:val="none"/>
        </w:rPr>
        <w:fldChar w:fldCharType="end"/>
      </w:r>
    </w:p>
    <w:p w14:paraId="100D09B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_Toc4836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建筑垃圾处理设施分类</w:t>
      </w:r>
      <w:r>
        <w:tab/>
      </w:r>
      <w:r>
        <w:fldChar w:fldCharType="begin"/>
      </w:r>
      <w:r>
        <w:instrText xml:space="preserve"> PAGEREF _Toc4836 \h </w:instrText>
      </w:r>
      <w:r>
        <w:fldChar w:fldCharType="separate"/>
      </w:r>
      <w:r>
        <w:t>69</w:t>
      </w:r>
      <w:r>
        <w:fldChar w:fldCharType="end"/>
      </w:r>
      <w:r>
        <w:rPr>
          <w:rFonts w:hint="eastAsia" w:ascii="Times New Roman" w:hAnsi="Times New Roman" w:eastAsia="方正仿宋_GB2312" w:cs="黑体"/>
          <w:color w:val="auto"/>
          <w:szCs w:val="32"/>
          <w:highlight w:val="none"/>
        </w:rPr>
        <w:fldChar w:fldCharType="end"/>
      </w:r>
    </w:p>
    <w:p w14:paraId="341423B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_Toc4660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实施计划</w:t>
      </w:r>
      <w:r>
        <w:tab/>
      </w:r>
      <w:r>
        <w:fldChar w:fldCharType="begin"/>
      </w:r>
      <w:r>
        <w:instrText xml:space="preserve"> PAGEREF _Toc4660 \h </w:instrText>
      </w:r>
      <w:r>
        <w:fldChar w:fldCharType="separate"/>
      </w:r>
      <w:r>
        <w:t>69</w:t>
      </w:r>
      <w:r>
        <w:fldChar w:fldCharType="end"/>
      </w:r>
      <w:r>
        <w:rPr>
          <w:rFonts w:hint="eastAsia" w:ascii="Times New Roman" w:hAnsi="Times New Roman" w:eastAsia="方正仿宋_GB2312" w:cs="黑体"/>
          <w:color w:val="auto"/>
          <w:szCs w:val="32"/>
          <w:highlight w:val="none"/>
        </w:rPr>
        <w:fldChar w:fldCharType="end"/>
      </w:r>
    </w:p>
    <w:p w14:paraId="27F8E814">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_Toc15973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工程建设</w:t>
      </w:r>
      <w:r>
        <w:tab/>
      </w:r>
      <w:r>
        <w:fldChar w:fldCharType="begin"/>
      </w:r>
      <w:r>
        <w:instrText xml:space="preserve"> PAGEREF _Toc15973 \h </w:instrText>
      </w:r>
      <w:r>
        <w:fldChar w:fldCharType="separate"/>
      </w:r>
      <w:r>
        <w:t>69</w:t>
      </w:r>
      <w:r>
        <w:fldChar w:fldCharType="end"/>
      </w:r>
      <w:r>
        <w:rPr>
          <w:rFonts w:hint="eastAsia" w:ascii="Times New Roman" w:hAnsi="Times New Roman" w:eastAsia="方正仿宋_GB2312" w:cs="黑体"/>
          <w:color w:val="auto"/>
          <w:szCs w:val="32"/>
          <w:highlight w:val="none"/>
        </w:rPr>
        <w:fldChar w:fldCharType="end"/>
      </w:r>
    </w:p>
    <w:p w14:paraId="4DA9CEB5">
      <w:pPr>
        <w:pStyle w:val="31"/>
        <w:tabs>
          <w:tab w:val="right" w:leader="dot" w:pos="873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_Toc19234 </w:instrText>
      </w:r>
      <w:r>
        <w:rPr>
          <w:rFonts w:hint="eastAsia" w:ascii="Times New Roman" w:hAnsi="Times New Roman" w:eastAsia="方正仿宋_GB2312" w:cs="黑体"/>
          <w:szCs w:val="32"/>
          <w:highlight w:val="none"/>
        </w:rPr>
        <w:fldChar w:fldCharType="separate"/>
      </w:r>
      <w:r>
        <w:rPr>
          <w:rFonts w:hint="eastAsia" w:ascii="仿宋" w:hAnsi="仿宋" w:eastAsia="黑体" w:cs="仿宋"/>
          <w:bCs/>
          <w:spacing w:val="0"/>
          <w:kern w:val="0"/>
          <w:szCs w:val="32"/>
          <w:lang w:val="en-US" w:eastAsia="zh-CN" w:bidi="ar-SA"/>
        </w:rPr>
        <w:t>十二、</w:t>
      </w:r>
      <w:r>
        <w:rPr>
          <w:rFonts w:hint="eastAsia" w:ascii="仿宋" w:hAnsi="仿宋" w:eastAsia="仿宋" w:cs="仿宋"/>
          <w:bCs/>
          <w:spacing w:val="0"/>
          <w:szCs w:val="32"/>
          <w:highlight w:val="none"/>
          <w:lang w:val="en-US" w:eastAsia="zh-CN"/>
        </w:rPr>
        <w:t>保障措施</w:t>
      </w:r>
      <w:r>
        <w:tab/>
      </w:r>
      <w:r>
        <w:fldChar w:fldCharType="begin"/>
      </w:r>
      <w:r>
        <w:instrText xml:space="preserve"> PAGEREF _Toc19234 \h </w:instrText>
      </w:r>
      <w:r>
        <w:fldChar w:fldCharType="separate"/>
      </w:r>
      <w:r>
        <w:t>72</w:t>
      </w:r>
      <w:r>
        <w:fldChar w:fldCharType="end"/>
      </w:r>
      <w:r>
        <w:rPr>
          <w:rFonts w:hint="eastAsia" w:ascii="Times New Roman" w:hAnsi="Times New Roman" w:eastAsia="方正仿宋_GB2312" w:cs="黑体"/>
          <w:color w:val="auto"/>
          <w:szCs w:val="32"/>
          <w:highlight w:val="none"/>
        </w:rPr>
        <w:fldChar w:fldCharType="end"/>
      </w:r>
    </w:p>
    <w:p w14:paraId="71D83750">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_Toc492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（一）</w:t>
      </w:r>
      <w:r>
        <w:rPr>
          <w:rFonts w:hint="eastAsia" w:ascii="仿宋" w:hAnsi="仿宋" w:eastAsia="仿宋" w:cs="仿宋"/>
          <w:bCs w:val="0"/>
          <w:spacing w:val="0"/>
          <w:kern w:val="2"/>
          <w:szCs w:val="32"/>
          <w:highlight w:val="none"/>
          <w:lang w:val="en-US" w:eastAsia="zh-CN" w:bidi="ar-SA"/>
        </w:rPr>
        <w:t>强化统筹推进</w:t>
      </w:r>
      <w:r>
        <w:tab/>
      </w:r>
      <w:r>
        <w:fldChar w:fldCharType="begin"/>
      </w:r>
      <w:r>
        <w:instrText xml:space="preserve"> PAGEREF _Toc492 \h </w:instrText>
      </w:r>
      <w:r>
        <w:fldChar w:fldCharType="separate"/>
      </w:r>
      <w:r>
        <w:t>72</w:t>
      </w:r>
      <w:r>
        <w:fldChar w:fldCharType="end"/>
      </w:r>
      <w:r>
        <w:rPr>
          <w:rFonts w:hint="eastAsia" w:ascii="Times New Roman" w:hAnsi="Times New Roman" w:eastAsia="方正仿宋_GB2312" w:cs="黑体"/>
          <w:color w:val="auto"/>
          <w:szCs w:val="32"/>
          <w:highlight w:val="none"/>
        </w:rPr>
        <w:fldChar w:fldCharType="end"/>
      </w:r>
    </w:p>
    <w:p w14:paraId="6DA2143A">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_Toc21435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（二）</w:t>
      </w:r>
      <w:r>
        <w:rPr>
          <w:rFonts w:hint="eastAsia" w:ascii="仿宋" w:hAnsi="仿宋" w:eastAsia="仿宋" w:cs="仿宋"/>
          <w:bCs w:val="0"/>
          <w:spacing w:val="0"/>
          <w:kern w:val="2"/>
          <w:szCs w:val="32"/>
          <w:highlight w:val="none"/>
          <w:lang w:val="en-US" w:eastAsia="zh-CN" w:bidi="ar-SA"/>
        </w:rPr>
        <w:t>强化联合执法监管</w:t>
      </w:r>
      <w:r>
        <w:tab/>
      </w:r>
      <w:r>
        <w:fldChar w:fldCharType="begin"/>
      </w:r>
      <w:r>
        <w:instrText xml:space="preserve"> PAGEREF _Toc21435 \h </w:instrText>
      </w:r>
      <w:r>
        <w:fldChar w:fldCharType="separate"/>
      </w:r>
      <w:r>
        <w:t>72</w:t>
      </w:r>
      <w:r>
        <w:fldChar w:fldCharType="end"/>
      </w:r>
      <w:r>
        <w:rPr>
          <w:rFonts w:hint="eastAsia" w:ascii="Times New Roman" w:hAnsi="Times New Roman" w:eastAsia="方正仿宋_GB2312" w:cs="黑体"/>
          <w:color w:val="auto"/>
          <w:szCs w:val="32"/>
          <w:highlight w:val="none"/>
        </w:rPr>
        <w:fldChar w:fldCharType="end"/>
      </w:r>
    </w:p>
    <w:p w14:paraId="010AEC4A">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_Toc5180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（三）</w:t>
      </w:r>
      <w:r>
        <w:rPr>
          <w:rFonts w:hint="eastAsia" w:ascii="仿宋" w:hAnsi="仿宋" w:eastAsia="仿宋" w:cs="仿宋"/>
          <w:bCs w:val="0"/>
          <w:spacing w:val="0"/>
          <w:kern w:val="2"/>
          <w:szCs w:val="32"/>
          <w:highlight w:val="none"/>
          <w:lang w:val="en-US" w:eastAsia="zh-CN" w:bidi="ar-SA"/>
        </w:rPr>
        <w:t>加大资金支持</w:t>
      </w:r>
      <w:r>
        <w:tab/>
      </w:r>
      <w:r>
        <w:fldChar w:fldCharType="begin"/>
      </w:r>
      <w:r>
        <w:instrText xml:space="preserve"> PAGEREF _Toc5180 \h </w:instrText>
      </w:r>
      <w:r>
        <w:fldChar w:fldCharType="separate"/>
      </w:r>
      <w:r>
        <w:t>73</w:t>
      </w:r>
      <w:r>
        <w:fldChar w:fldCharType="end"/>
      </w:r>
      <w:r>
        <w:rPr>
          <w:rFonts w:hint="eastAsia" w:ascii="Times New Roman" w:hAnsi="Times New Roman" w:eastAsia="方正仿宋_GB2312" w:cs="黑体"/>
          <w:color w:val="auto"/>
          <w:szCs w:val="32"/>
          <w:highlight w:val="none"/>
        </w:rPr>
        <w:fldChar w:fldCharType="end"/>
      </w:r>
    </w:p>
    <w:p w14:paraId="547A19E9">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_Toc10143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（四）</w:t>
      </w:r>
      <w:r>
        <w:rPr>
          <w:rFonts w:hint="eastAsia" w:ascii="仿宋" w:hAnsi="仿宋" w:eastAsia="仿宋" w:cs="仿宋"/>
          <w:bCs w:val="0"/>
          <w:spacing w:val="0"/>
          <w:kern w:val="2"/>
          <w:szCs w:val="32"/>
          <w:highlight w:val="none"/>
          <w:lang w:val="en-US" w:eastAsia="zh-CN" w:bidi="ar-SA"/>
        </w:rPr>
        <w:t>完善用地保障</w:t>
      </w:r>
      <w:r>
        <w:tab/>
      </w:r>
      <w:r>
        <w:fldChar w:fldCharType="begin"/>
      </w:r>
      <w:r>
        <w:instrText xml:space="preserve"> PAGEREF _Toc10143 \h </w:instrText>
      </w:r>
      <w:r>
        <w:fldChar w:fldCharType="separate"/>
      </w:r>
      <w:r>
        <w:t>73</w:t>
      </w:r>
      <w:r>
        <w:fldChar w:fldCharType="end"/>
      </w:r>
      <w:r>
        <w:rPr>
          <w:rFonts w:hint="eastAsia" w:ascii="Times New Roman" w:hAnsi="Times New Roman" w:eastAsia="方正仿宋_GB2312" w:cs="黑体"/>
          <w:color w:val="auto"/>
          <w:szCs w:val="32"/>
          <w:highlight w:val="none"/>
        </w:rPr>
        <w:fldChar w:fldCharType="end"/>
      </w:r>
    </w:p>
    <w:p w14:paraId="4326767B">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_Toc19124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（五）</w:t>
      </w:r>
      <w:r>
        <w:rPr>
          <w:rFonts w:hint="eastAsia" w:ascii="仿宋" w:hAnsi="仿宋" w:eastAsia="仿宋" w:cs="仿宋"/>
          <w:bCs w:val="0"/>
          <w:spacing w:val="0"/>
          <w:kern w:val="2"/>
          <w:szCs w:val="32"/>
          <w:highlight w:val="none"/>
          <w:lang w:val="en-US" w:eastAsia="zh-CN" w:bidi="ar-SA"/>
        </w:rPr>
        <w:t>推动建筑垃圾利用处置情况作为财政结算依据</w:t>
      </w:r>
      <w:r>
        <w:tab/>
      </w:r>
      <w:r>
        <w:fldChar w:fldCharType="begin"/>
      </w:r>
      <w:r>
        <w:instrText xml:space="preserve"> PAGEREF _Toc19124 \h </w:instrText>
      </w:r>
      <w:r>
        <w:fldChar w:fldCharType="separate"/>
      </w:r>
      <w:r>
        <w:t>74</w:t>
      </w:r>
      <w:r>
        <w:fldChar w:fldCharType="end"/>
      </w:r>
      <w:r>
        <w:rPr>
          <w:rFonts w:hint="eastAsia" w:ascii="Times New Roman" w:hAnsi="Times New Roman" w:eastAsia="方正仿宋_GB2312" w:cs="黑体"/>
          <w:color w:val="auto"/>
          <w:szCs w:val="32"/>
          <w:highlight w:val="none"/>
        </w:rPr>
        <w:fldChar w:fldCharType="end"/>
      </w:r>
    </w:p>
    <w:p w14:paraId="387E7B60">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_Toc30188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（六）</w:t>
      </w:r>
      <w:r>
        <w:rPr>
          <w:rFonts w:hint="eastAsia" w:ascii="仿宋" w:hAnsi="仿宋" w:eastAsia="仿宋" w:cs="仿宋"/>
          <w:bCs w:val="0"/>
          <w:spacing w:val="0"/>
          <w:kern w:val="2"/>
          <w:szCs w:val="32"/>
          <w:highlight w:val="none"/>
          <w:lang w:val="en-US" w:eastAsia="zh-CN" w:bidi="ar-SA"/>
        </w:rPr>
        <w:t>强化人才队伍建设</w:t>
      </w:r>
      <w:r>
        <w:tab/>
      </w:r>
      <w:r>
        <w:fldChar w:fldCharType="begin"/>
      </w:r>
      <w:r>
        <w:instrText xml:space="preserve"> PAGEREF _Toc30188 \h </w:instrText>
      </w:r>
      <w:r>
        <w:fldChar w:fldCharType="separate"/>
      </w:r>
      <w:r>
        <w:t>74</w:t>
      </w:r>
      <w:r>
        <w:fldChar w:fldCharType="end"/>
      </w:r>
      <w:r>
        <w:rPr>
          <w:rFonts w:hint="eastAsia" w:ascii="Times New Roman" w:hAnsi="Times New Roman" w:eastAsia="方正仿宋_GB2312" w:cs="黑体"/>
          <w:color w:val="auto"/>
          <w:szCs w:val="32"/>
          <w:highlight w:val="none"/>
        </w:rPr>
        <w:fldChar w:fldCharType="end"/>
      </w:r>
    </w:p>
    <w:p w14:paraId="08809D7D">
      <w:pPr>
        <w:pStyle w:val="36"/>
        <w:tabs>
          <w:tab w:val="right" w:leader="dot" w:pos="8731"/>
          <w:tab w:val="clear" w:pos="851"/>
          <w:tab w:val="clear" w:pos="9072"/>
        </w:tabs>
      </w:pPr>
      <w:r>
        <w:rPr>
          <w:rFonts w:hint="eastAsia" w:ascii="Times New Roman" w:hAnsi="Times New Roman" w:eastAsia="方正仿宋_GB2312" w:cs="黑体"/>
          <w:color w:val="auto"/>
          <w:szCs w:val="32"/>
          <w:highlight w:val="none"/>
        </w:rPr>
        <w:fldChar w:fldCharType="begin"/>
      </w:r>
      <w:r>
        <w:rPr>
          <w:rFonts w:hint="eastAsia" w:ascii="Times New Roman" w:hAnsi="Times New Roman" w:eastAsia="方正仿宋_GB2312" w:cs="黑体"/>
          <w:szCs w:val="32"/>
          <w:highlight w:val="none"/>
        </w:rPr>
        <w:instrText xml:space="preserve"> HYPERLINK \l _Toc29258 </w:instrText>
      </w:r>
      <w:r>
        <w:rPr>
          <w:rFonts w:hint="eastAsia" w:ascii="Times New Roman" w:hAnsi="Times New Roman" w:eastAsia="方正仿宋_GB2312" w:cs="黑体"/>
          <w:szCs w:val="32"/>
          <w:highlight w:val="none"/>
        </w:rPr>
        <w:fldChar w:fldCharType="separate"/>
      </w:r>
      <w:r>
        <w:rPr>
          <w:rFonts w:hint="eastAsia" w:ascii="仿宋" w:hAnsi="仿宋" w:eastAsia="方正楷体_GB2312" w:cs="仿宋"/>
          <w:bCs w:val="0"/>
          <w:spacing w:val="0"/>
          <w:kern w:val="2"/>
          <w:szCs w:val="32"/>
          <w:lang w:val="en-US" w:eastAsia="zh-CN" w:bidi="ar-SA"/>
        </w:rPr>
        <w:t>（七）</w:t>
      </w:r>
      <w:r>
        <w:rPr>
          <w:rFonts w:hint="eastAsia" w:ascii="仿宋" w:hAnsi="仿宋" w:eastAsia="仿宋" w:cs="仿宋"/>
          <w:bCs w:val="0"/>
          <w:spacing w:val="0"/>
          <w:kern w:val="2"/>
          <w:szCs w:val="32"/>
          <w:highlight w:val="none"/>
          <w:lang w:val="en-US" w:eastAsia="zh-CN" w:bidi="ar-SA"/>
        </w:rPr>
        <w:t>加强宣传培训</w:t>
      </w:r>
      <w:r>
        <w:tab/>
      </w:r>
      <w:r>
        <w:fldChar w:fldCharType="begin"/>
      </w:r>
      <w:r>
        <w:instrText xml:space="preserve"> PAGEREF _Toc29258 \h </w:instrText>
      </w:r>
      <w:r>
        <w:fldChar w:fldCharType="separate"/>
      </w:r>
      <w:r>
        <w:t>74</w:t>
      </w:r>
      <w:r>
        <w:fldChar w:fldCharType="end"/>
      </w:r>
      <w:r>
        <w:rPr>
          <w:rFonts w:hint="eastAsia" w:ascii="Times New Roman" w:hAnsi="Times New Roman" w:eastAsia="方正仿宋_GB2312" w:cs="黑体"/>
          <w:color w:val="auto"/>
          <w:szCs w:val="32"/>
          <w:highlight w:val="none"/>
        </w:rPr>
        <w:fldChar w:fldCharType="end"/>
      </w:r>
    </w:p>
    <w:p w14:paraId="51ADD19E">
      <w:pPr>
        <w:keepNext w:val="0"/>
        <w:keepLines w:val="0"/>
        <w:pageBreakBefore w:val="0"/>
        <w:widowControl/>
        <w:kinsoku/>
        <w:wordWrap/>
        <w:overflowPunct/>
        <w:topLinePunct w:val="0"/>
        <w:autoSpaceDE/>
        <w:autoSpaceDN/>
        <w:bidi w:val="0"/>
        <w:adjustRightInd/>
        <w:snapToGrid/>
        <w:spacing w:line="240" w:lineRule="auto"/>
        <w:textAlignment w:val="auto"/>
        <w:rPr>
          <w:rFonts w:ascii="Times New Roman" w:hAnsi="Times New Roman" w:eastAsia="楷体"/>
          <w:color w:val="auto"/>
          <w:sz w:val="28"/>
          <w:highlight w:val="none"/>
        </w:rPr>
      </w:pPr>
      <w:r>
        <w:rPr>
          <w:rFonts w:hint="eastAsia" w:ascii="Times New Roman" w:hAnsi="Times New Roman" w:eastAsia="方正仿宋_GB2312" w:cs="黑体"/>
          <w:color w:val="auto"/>
          <w:szCs w:val="32"/>
          <w:highlight w:val="none"/>
        </w:rPr>
        <w:fldChar w:fldCharType="end"/>
      </w:r>
    </w:p>
    <w:p w14:paraId="532FF2BE">
      <w:pPr>
        <w:pStyle w:val="31"/>
        <w:keepNext w:val="0"/>
        <w:keepLines w:val="0"/>
        <w:pageBreakBefore w:val="0"/>
        <w:widowControl/>
        <w:tabs>
          <w:tab w:val="left" w:pos="960"/>
          <w:tab w:val="center" w:pos="4595"/>
        </w:tabs>
        <w:wordWrap/>
        <w:overflowPunct w:val="0"/>
        <w:topLinePunct w:val="0"/>
        <w:bidi w:val="0"/>
        <w:spacing w:before="120" w:after="120" w:line="240" w:lineRule="auto"/>
        <w:ind w:firstLine="480" w:firstLineChars="200"/>
        <w:jc w:val="both"/>
        <w:rPr>
          <w:rFonts w:hint="eastAsia" w:ascii="仿宋" w:hAnsi="仿宋" w:eastAsia="仿宋" w:cs="仿宋"/>
          <w:b w:val="0"/>
          <w:bCs w:val="0"/>
          <w:color w:val="auto"/>
          <w:spacing w:val="0"/>
          <w:kern w:val="2"/>
          <w:sz w:val="24"/>
          <w:szCs w:val="24"/>
          <w:highlight w:val="none"/>
          <w:lang w:val="en-US" w:eastAsia="zh-CN" w:bidi="ar-SA"/>
        </w:rPr>
      </w:pPr>
      <w:bookmarkStart w:id="3" w:name="_Toc2389"/>
      <w:r>
        <w:rPr>
          <w:rFonts w:hint="eastAsia" w:ascii="仿宋" w:hAnsi="仿宋" w:eastAsia="仿宋" w:cs="仿宋"/>
          <w:b w:val="0"/>
          <w:bCs w:val="0"/>
          <w:color w:val="auto"/>
          <w:spacing w:val="0"/>
          <w:kern w:val="2"/>
          <w:sz w:val="24"/>
          <w:szCs w:val="24"/>
          <w:highlight w:val="none"/>
          <w:lang w:val="en-US" w:eastAsia="zh-CN" w:bidi="ar-SA"/>
        </w:rPr>
        <w:t>附图</w:t>
      </w:r>
      <w:bookmarkEnd w:id="3"/>
      <w:r>
        <w:rPr>
          <w:rFonts w:hint="eastAsia" w:ascii="仿宋" w:hAnsi="仿宋" w:eastAsia="仿宋" w:cs="仿宋"/>
          <w:b w:val="0"/>
          <w:bCs w:val="0"/>
          <w:color w:val="auto"/>
          <w:spacing w:val="0"/>
          <w:kern w:val="2"/>
          <w:sz w:val="24"/>
          <w:szCs w:val="24"/>
          <w:highlight w:val="none"/>
          <w:lang w:val="en-US" w:eastAsia="zh-CN" w:bidi="ar-SA"/>
        </w:rPr>
        <w:t>：建筑垃圾处理设施规划图</w:t>
      </w:r>
    </w:p>
    <w:p w14:paraId="69030798">
      <w:pPr>
        <w:pStyle w:val="31"/>
        <w:keepNext w:val="0"/>
        <w:keepLines w:val="0"/>
        <w:pageBreakBefore w:val="0"/>
        <w:widowControl/>
        <w:tabs>
          <w:tab w:val="left" w:pos="960"/>
          <w:tab w:val="center" w:pos="4595"/>
        </w:tabs>
        <w:wordWrap/>
        <w:overflowPunct w:val="0"/>
        <w:topLinePunct w:val="0"/>
        <w:bidi w:val="0"/>
        <w:spacing w:before="120" w:after="120" w:line="240" w:lineRule="auto"/>
        <w:ind w:firstLine="480" w:firstLineChars="200"/>
        <w:jc w:val="both"/>
        <w:rPr>
          <w:rFonts w:hint="eastAsia" w:ascii="仿宋" w:hAnsi="仿宋" w:eastAsia="仿宋" w:cs="仿宋"/>
          <w:b w:val="0"/>
          <w:bCs w:val="0"/>
          <w:color w:val="auto"/>
          <w:spacing w:val="0"/>
          <w:kern w:val="2"/>
          <w:sz w:val="24"/>
          <w:szCs w:val="24"/>
          <w:highlight w:val="none"/>
          <w:lang w:val="en-US" w:eastAsia="zh-CN" w:bidi="ar-SA"/>
        </w:rPr>
      </w:pPr>
      <w:r>
        <w:rPr>
          <w:rFonts w:hint="eastAsia" w:ascii="仿宋" w:hAnsi="仿宋" w:eastAsia="仿宋" w:cs="仿宋"/>
          <w:b w:val="0"/>
          <w:bCs w:val="0"/>
          <w:color w:val="auto"/>
          <w:spacing w:val="0"/>
          <w:kern w:val="2"/>
          <w:sz w:val="24"/>
          <w:szCs w:val="24"/>
          <w:highlight w:val="none"/>
          <w:lang w:val="en-US" w:eastAsia="zh-CN" w:bidi="ar-SA"/>
        </w:rPr>
        <w:t>附件：第一次征求意见情况及采纳情况</w:t>
      </w:r>
    </w:p>
    <w:p w14:paraId="316BBC9C">
      <w:pPr>
        <w:pStyle w:val="31"/>
        <w:keepNext w:val="0"/>
        <w:keepLines w:val="0"/>
        <w:pageBreakBefore w:val="0"/>
        <w:widowControl/>
        <w:tabs>
          <w:tab w:val="left" w:pos="960"/>
          <w:tab w:val="center" w:pos="4595"/>
        </w:tabs>
        <w:wordWrap/>
        <w:overflowPunct w:val="0"/>
        <w:topLinePunct w:val="0"/>
        <w:bidi w:val="0"/>
        <w:spacing w:before="120" w:after="120" w:line="240" w:lineRule="auto"/>
        <w:ind w:firstLine="480" w:firstLineChars="200"/>
        <w:jc w:val="both"/>
        <w:rPr>
          <w:rFonts w:hint="default" w:ascii="仿宋" w:hAnsi="仿宋" w:eastAsia="仿宋" w:cs="仿宋"/>
          <w:b w:val="0"/>
          <w:bCs w:val="0"/>
          <w:color w:val="auto"/>
          <w:spacing w:val="0"/>
          <w:kern w:val="2"/>
          <w:sz w:val="24"/>
          <w:szCs w:val="24"/>
          <w:highlight w:val="none"/>
          <w:lang w:val="en-US" w:eastAsia="zh-CN" w:bidi="ar-SA"/>
        </w:rPr>
      </w:pPr>
      <w:r>
        <w:rPr>
          <w:rFonts w:hint="eastAsia" w:ascii="仿宋" w:hAnsi="仿宋" w:eastAsia="仿宋" w:cs="仿宋"/>
          <w:b w:val="0"/>
          <w:bCs w:val="0"/>
          <w:color w:val="auto"/>
          <w:spacing w:val="0"/>
          <w:kern w:val="2"/>
          <w:sz w:val="24"/>
          <w:szCs w:val="24"/>
          <w:highlight w:val="none"/>
          <w:lang w:val="en-US" w:eastAsia="zh-CN" w:bidi="ar-SA"/>
        </w:rPr>
        <w:t xml:space="preserve">      第二次征求意见情况及采纳情况</w:t>
      </w:r>
    </w:p>
    <w:p w14:paraId="0B88CB40">
      <w:pPr>
        <w:outlineLvl w:val="9"/>
        <w:rPr>
          <w:rFonts w:hint="eastAsia"/>
          <w:lang w:val="en-US" w:eastAsia="zh-CN"/>
        </w:rPr>
      </w:pPr>
    </w:p>
    <w:p w14:paraId="6E4637C5">
      <w:pPr>
        <w:pageBreakBefore w:val="0"/>
        <w:widowControl/>
        <w:numPr>
          <w:ilvl w:val="0"/>
          <w:numId w:val="0"/>
        </w:numPr>
        <w:tabs>
          <w:tab w:val="left" w:pos="540"/>
        </w:tabs>
        <w:kinsoku/>
        <w:wordWrap/>
        <w:overflowPunct/>
        <w:topLinePunct w:val="0"/>
        <w:autoSpaceDE/>
        <w:autoSpaceDN/>
        <w:bidi w:val="0"/>
        <w:adjustRightInd/>
        <w:snapToGrid/>
        <w:spacing w:line="600" w:lineRule="exact"/>
        <w:ind w:left="0" w:leftChars="0" w:firstLine="640" w:firstLineChars="0"/>
        <w:textAlignment w:val="auto"/>
        <w:outlineLvl w:val="9"/>
        <w:rPr>
          <w:rFonts w:hint="default" w:ascii="仿宋" w:hAnsi="仿宋" w:eastAsia="仿宋" w:cs="仿宋"/>
          <w:b/>
          <w:bCs w:val="0"/>
          <w:color w:val="auto"/>
          <w:spacing w:val="0"/>
          <w:kern w:val="2"/>
          <w:sz w:val="32"/>
          <w:szCs w:val="32"/>
          <w:highlight w:val="none"/>
          <w:lang w:val="en-US" w:eastAsia="zh-CN" w:bidi="ar-SA"/>
        </w:rPr>
      </w:pPr>
    </w:p>
    <w:p w14:paraId="233ADFD4">
      <w:pPr>
        <w:rPr>
          <w:rFonts w:hint="eastAsia"/>
          <w:lang w:val="en-US" w:eastAsia="zh-CN"/>
        </w:rPr>
      </w:pPr>
    </w:p>
    <w:p w14:paraId="23D2CEF0">
      <w:pPr>
        <w:pStyle w:val="31"/>
        <w:keepNext w:val="0"/>
        <w:keepLines w:val="0"/>
        <w:pageBreakBefore w:val="0"/>
        <w:widowControl/>
        <w:tabs>
          <w:tab w:val="left" w:pos="960"/>
          <w:tab w:val="center" w:pos="4595"/>
        </w:tabs>
        <w:wordWrap/>
        <w:overflowPunct w:val="0"/>
        <w:topLinePunct w:val="0"/>
        <w:bidi w:val="0"/>
        <w:spacing w:before="120" w:after="120" w:line="240" w:lineRule="auto"/>
        <w:jc w:val="both"/>
        <w:rPr>
          <w:rFonts w:hint="eastAsia" w:ascii="Times New Roman" w:hAnsi="Times New Roman" w:eastAsia="仿宋_GB2312" w:cs="黑体"/>
          <w:color w:val="auto"/>
          <w:spacing w:val="0"/>
          <w:sz w:val="40"/>
          <w:szCs w:val="40"/>
          <w:highlight w:val="none"/>
          <w:lang w:eastAsia="zh-CN"/>
        </w:rPr>
      </w:pPr>
      <w:r>
        <w:rPr>
          <w:rFonts w:hint="eastAsia" w:ascii="Times New Roman" w:hAnsi="Times New Roman" w:eastAsia="仿宋_GB2312" w:cs="黑体"/>
          <w:color w:val="auto"/>
          <w:spacing w:val="0"/>
          <w:sz w:val="40"/>
          <w:szCs w:val="40"/>
          <w:highlight w:val="none"/>
          <w:lang w:eastAsia="zh-CN"/>
        </w:rPr>
        <w:tab/>
      </w:r>
    </w:p>
    <w:p w14:paraId="26E91577">
      <w:pPr>
        <w:pStyle w:val="115"/>
        <w:keepNext w:val="0"/>
        <w:keepLines w:val="0"/>
        <w:pageBreakBefore w:val="0"/>
        <w:widowControl/>
        <w:wordWrap/>
        <w:overflowPunct w:val="0"/>
        <w:topLinePunct w:val="0"/>
        <w:bidi w:val="0"/>
        <w:spacing w:line="240" w:lineRule="auto"/>
        <w:jc w:val="both"/>
        <w:rPr>
          <w:rFonts w:ascii="Times New Roman" w:hAnsi="Times New Roman" w:eastAsia="仿宋_GB2312" w:cs="Times New Roman"/>
          <w:color w:val="auto"/>
          <w:spacing w:val="0"/>
          <w:highlight w:val="none"/>
        </w:rPr>
        <w:sectPr>
          <w:pgSz w:w="11905" w:h="16838"/>
          <w:pgMar w:top="1587" w:right="1587" w:bottom="1474" w:left="1587" w:header="851" w:footer="567" w:gutter="0"/>
          <w:pgBorders w:offsetFrom="page">
            <w:top w:val="none" w:sz="0" w:space="0"/>
            <w:left w:val="none" w:sz="0" w:space="0"/>
            <w:bottom w:val="none" w:sz="0" w:space="0"/>
            <w:right w:val="none" w:sz="0" w:space="0"/>
          </w:pgBorders>
          <w:pgNumType w:fmt="upperRoman" w:start="1"/>
          <w:cols w:space="0" w:num="1"/>
          <w:rtlGutter w:val="0"/>
          <w:docGrid w:linePitch="312" w:charSpace="0"/>
        </w:sectPr>
      </w:pPr>
    </w:p>
    <w:bookmarkEnd w:id="0"/>
    <w:bookmarkEnd w:id="1"/>
    <w:p w14:paraId="49BD1D75">
      <w:pPr>
        <w:pStyle w:val="2"/>
        <w:numPr>
          <w:ilvl w:val="0"/>
          <w:numId w:val="0"/>
        </w:numPr>
        <w:bidi w:val="0"/>
        <w:ind w:left="420" w:leftChars="0" w:firstLine="321" w:firstLineChars="100"/>
        <w:rPr>
          <w:rFonts w:hint="eastAsia" w:ascii="仿宋" w:hAnsi="仿宋" w:eastAsia="仿宋" w:cs="仿宋"/>
          <w:b/>
          <w:bCs/>
          <w:color w:val="auto"/>
          <w:spacing w:val="0"/>
          <w:highlight w:val="none"/>
          <w:lang w:val="en-US" w:eastAsia="zh-CN"/>
        </w:rPr>
      </w:pPr>
      <w:bookmarkStart w:id="4" w:name="_Toc6561"/>
      <w:bookmarkStart w:id="5" w:name="_Toc17201"/>
      <w:r>
        <w:rPr>
          <w:rFonts w:hint="eastAsia" w:ascii="仿宋" w:hAnsi="仿宋" w:eastAsia="黑体" w:cs="仿宋"/>
          <w:b/>
          <w:bCs/>
          <w:color w:val="auto"/>
          <w:spacing w:val="0"/>
          <w:kern w:val="0"/>
          <w:sz w:val="32"/>
          <w:szCs w:val="32"/>
          <w:lang w:val="en-US" w:eastAsia="zh-CN" w:bidi="ar-SA"/>
        </w:rPr>
        <w:t>一、</w:t>
      </w:r>
      <w:r>
        <w:rPr>
          <w:rFonts w:hint="eastAsia" w:ascii="仿宋" w:hAnsi="仿宋" w:eastAsia="仿宋" w:cs="仿宋"/>
          <w:b/>
          <w:bCs/>
          <w:color w:val="auto"/>
          <w:spacing w:val="0"/>
          <w:highlight w:val="none"/>
          <w:lang w:val="en-US" w:eastAsia="zh-CN"/>
        </w:rPr>
        <w:t>规划总则</w:t>
      </w:r>
      <w:bookmarkEnd w:id="4"/>
      <w:bookmarkEnd w:id="5"/>
    </w:p>
    <w:p w14:paraId="58EF1F23">
      <w:pPr>
        <w:pStyle w:val="3"/>
        <w:numPr>
          <w:ilvl w:val="1"/>
          <w:numId w:val="0"/>
        </w:numPr>
        <w:bidi w:val="0"/>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 w:name="_Toc714"/>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规划背景</w:t>
      </w:r>
      <w:bookmarkEnd w:id="6"/>
    </w:p>
    <w:p w14:paraId="1E9A74E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rPr>
      </w:pPr>
      <w:r>
        <w:rPr>
          <w:rFonts w:hint="eastAsia" w:ascii="仿宋" w:hAnsi="仿宋" w:eastAsia="仿宋" w:cs="仿宋"/>
          <w:color w:val="auto"/>
          <w:spacing w:val="0"/>
          <w:sz w:val="32"/>
          <w:szCs w:val="32"/>
          <w:highlight w:val="none"/>
        </w:rPr>
        <w:t>为深入贯彻习近平生态文明思想，落实党中央、国务院关于固体废物减量化、资源化、无害化处理决策部署及省委省政府、市委市政府工作要求，扎实推动建筑垃圾污染防治工作，</w:t>
      </w:r>
      <w:r>
        <w:rPr>
          <w:rFonts w:hint="eastAsia" w:ascii="仿宋" w:hAnsi="仿宋" w:eastAsia="仿宋" w:cs="仿宋"/>
          <w:color w:val="auto"/>
          <w:spacing w:val="0"/>
          <w:sz w:val="32"/>
          <w:szCs w:val="32"/>
          <w:highlight w:val="none"/>
          <w:lang w:val="en-US" w:eastAsia="zh-CN"/>
        </w:rPr>
        <w:t>健全</w:t>
      </w:r>
      <w:r>
        <w:rPr>
          <w:rFonts w:hint="eastAsia" w:ascii="仿宋" w:hAnsi="仿宋" w:eastAsia="仿宋" w:cs="仿宋"/>
          <w:color w:val="auto"/>
          <w:spacing w:val="0"/>
          <w:sz w:val="32"/>
          <w:szCs w:val="32"/>
          <w:highlight w:val="none"/>
        </w:rPr>
        <w:t>建筑垃圾</w:t>
      </w:r>
      <w:r>
        <w:rPr>
          <w:rFonts w:hint="eastAsia" w:ascii="仿宋" w:hAnsi="仿宋" w:eastAsia="仿宋" w:cs="仿宋"/>
          <w:color w:val="auto"/>
          <w:spacing w:val="0"/>
          <w:sz w:val="32"/>
          <w:szCs w:val="32"/>
          <w:highlight w:val="none"/>
          <w:lang w:val="en-US" w:eastAsia="zh-CN"/>
        </w:rPr>
        <w:t>全过程管理体系，推进城市治理体系和治理能力现代化，奋力建设融湾崛起排头兵、城乡融合示范市、生态发展新标杆、“双区”魅力后花园。</w:t>
      </w:r>
      <w:r>
        <w:rPr>
          <w:rFonts w:hint="eastAsia" w:ascii="仿宋" w:hAnsi="仿宋" w:eastAsia="仿宋" w:cs="仿宋"/>
          <w:color w:val="auto"/>
          <w:spacing w:val="0"/>
          <w:sz w:val="32"/>
          <w:szCs w:val="32"/>
          <w:highlight w:val="none"/>
        </w:rPr>
        <w:t>根据《中华人民共和国固体废物污染环境防治法》</w:t>
      </w:r>
      <w:r>
        <w:rPr>
          <w:rFonts w:hint="eastAsia" w:ascii="仿宋" w:hAnsi="仿宋" w:eastAsia="仿宋" w:cs="仿宋"/>
          <w:color w:val="auto"/>
          <w:spacing w:val="0"/>
          <w:sz w:val="32"/>
          <w:szCs w:val="32"/>
          <w:highlight w:val="none"/>
          <w:lang w:eastAsia="zh-CN"/>
        </w:rPr>
        <w:t>《城市建筑垃圾管理规定》</w:t>
      </w:r>
      <w:r>
        <w:rPr>
          <w:rFonts w:hint="eastAsia" w:ascii="仿宋" w:hAnsi="仿宋" w:eastAsia="仿宋" w:cs="仿宋"/>
          <w:color w:val="auto"/>
          <w:spacing w:val="0"/>
          <w:sz w:val="32"/>
          <w:szCs w:val="32"/>
          <w:highlight w:val="none"/>
        </w:rPr>
        <w:t>《广东省建筑垃圾管理条例》《广东省建</w:t>
      </w:r>
      <w:r>
        <w:rPr>
          <w:rFonts w:hint="eastAsia" w:ascii="仿宋" w:hAnsi="仿宋" w:eastAsia="仿宋" w:cs="仿宋"/>
          <w:color w:val="auto"/>
          <w:spacing w:val="0"/>
          <w:sz w:val="32"/>
          <w:szCs w:val="32"/>
          <w:highlight w:val="none"/>
          <w:lang w:eastAsia="zh-CN"/>
        </w:rPr>
        <w:t>筑垃</w:t>
      </w:r>
      <w:r>
        <w:rPr>
          <w:rFonts w:hint="eastAsia" w:ascii="仿宋" w:hAnsi="仿宋" w:eastAsia="仿宋" w:cs="仿宋"/>
          <w:color w:val="auto"/>
          <w:spacing w:val="0"/>
          <w:sz w:val="32"/>
          <w:szCs w:val="32"/>
          <w:highlight w:val="none"/>
        </w:rPr>
        <w:t>圾治理及资源化利用三年行动方案</w:t>
      </w:r>
      <w:r>
        <w:rPr>
          <w:rFonts w:hint="eastAsia" w:ascii="仿宋" w:hAnsi="仿宋" w:eastAsia="仿宋" w:cs="仿宋"/>
          <w:color w:val="auto"/>
          <w:spacing w:val="0"/>
          <w:sz w:val="32"/>
          <w:szCs w:val="32"/>
          <w:highlight w:val="none"/>
          <w:lang w:eastAsia="zh-CN"/>
        </w:rPr>
        <w:t>（</w:t>
      </w:r>
      <w:r>
        <w:rPr>
          <w:rFonts w:hint="eastAsia" w:ascii="仿宋" w:hAnsi="仿宋" w:eastAsia="仿宋" w:cs="仿宋"/>
          <w:color w:val="auto"/>
          <w:spacing w:val="0"/>
          <w:sz w:val="32"/>
          <w:szCs w:val="32"/>
          <w:highlight w:val="none"/>
        </w:rPr>
        <w:t>2023-2025年</w:t>
      </w:r>
      <w:r>
        <w:rPr>
          <w:rFonts w:hint="eastAsia" w:ascii="仿宋" w:hAnsi="仿宋" w:eastAsia="仿宋" w:cs="仿宋"/>
          <w:color w:val="auto"/>
          <w:spacing w:val="0"/>
          <w:sz w:val="32"/>
          <w:szCs w:val="32"/>
          <w:highlight w:val="none"/>
          <w:lang w:eastAsia="zh-CN"/>
        </w:rPr>
        <w:t>）</w:t>
      </w:r>
      <w:r>
        <w:rPr>
          <w:rFonts w:hint="eastAsia" w:ascii="仿宋" w:hAnsi="仿宋" w:eastAsia="仿宋" w:cs="仿宋"/>
          <w:color w:val="auto"/>
          <w:spacing w:val="0"/>
          <w:sz w:val="32"/>
          <w:szCs w:val="32"/>
          <w:highlight w:val="none"/>
        </w:rPr>
        <w:t>》</w:t>
      </w:r>
      <w:r>
        <w:rPr>
          <w:rFonts w:hint="eastAsia" w:ascii="仿宋" w:hAnsi="仿宋" w:eastAsia="仿宋" w:cs="仿宋"/>
          <w:color w:val="auto"/>
          <w:spacing w:val="0"/>
          <w:sz w:val="32"/>
          <w:szCs w:val="32"/>
          <w:highlight w:val="none"/>
          <w:lang w:val="en-US" w:eastAsia="zh-CN"/>
        </w:rPr>
        <w:t>《清远市城乡建筑垃圾管理条例》</w:t>
      </w:r>
      <w:r>
        <w:rPr>
          <w:rFonts w:hint="eastAsia" w:ascii="仿宋" w:hAnsi="仿宋" w:eastAsia="仿宋" w:cs="仿宋"/>
          <w:color w:val="auto"/>
          <w:spacing w:val="0"/>
          <w:sz w:val="32"/>
          <w:szCs w:val="32"/>
          <w:highlight w:val="none"/>
          <w:lang w:eastAsia="zh-CN"/>
        </w:rPr>
        <w:t>和《清远市市区建筑垃圾管理办法》</w:t>
      </w:r>
      <w:r>
        <w:rPr>
          <w:rFonts w:hint="eastAsia" w:ascii="仿宋" w:hAnsi="仿宋" w:eastAsia="仿宋" w:cs="仿宋"/>
          <w:color w:val="auto"/>
          <w:spacing w:val="0"/>
          <w:sz w:val="32"/>
          <w:szCs w:val="32"/>
          <w:highlight w:val="none"/>
          <w:lang w:val="en-US" w:eastAsia="zh-CN"/>
        </w:rPr>
        <w:t>等</w:t>
      </w:r>
      <w:r>
        <w:rPr>
          <w:rFonts w:hint="eastAsia" w:ascii="仿宋" w:hAnsi="仿宋" w:eastAsia="仿宋" w:cs="仿宋"/>
          <w:color w:val="auto"/>
          <w:spacing w:val="0"/>
          <w:sz w:val="32"/>
          <w:szCs w:val="32"/>
          <w:highlight w:val="none"/>
        </w:rPr>
        <w:t>文件要求，结合</w:t>
      </w:r>
      <w:r>
        <w:rPr>
          <w:rFonts w:hint="eastAsia" w:ascii="仿宋" w:hAnsi="仿宋" w:eastAsia="仿宋" w:cs="仿宋"/>
          <w:color w:val="auto"/>
          <w:spacing w:val="0"/>
          <w:sz w:val="32"/>
          <w:szCs w:val="32"/>
          <w:highlight w:val="none"/>
          <w:lang w:val="en-US" w:eastAsia="zh-CN"/>
        </w:rPr>
        <w:t>清城区</w:t>
      </w:r>
      <w:r>
        <w:rPr>
          <w:rFonts w:hint="eastAsia" w:ascii="仿宋" w:hAnsi="仿宋" w:eastAsia="仿宋" w:cs="仿宋"/>
          <w:color w:val="auto"/>
          <w:spacing w:val="0"/>
          <w:sz w:val="32"/>
          <w:szCs w:val="32"/>
          <w:highlight w:val="none"/>
        </w:rPr>
        <w:t>实际，制定本</w:t>
      </w:r>
      <w:r>
        <w:rPr>
          <w:rFonts w:hint="eastAsia" w:ascii="仿宋" w:hAnsi="仿宋" w:eastAsia="仿宋" w:cs="仿宋"/>
          <w:color w:val="auto"/>
          <w:spacing w:val="0"/>
          <w:sz w:val="32"/>
          <w:szCs w:val="32"/>
          <w:highlight w:val="none"/>
          <w:lang w:eastAsia="zh-CN"/>
        </w:rPr>
        <w:t>工作</w:t>
      </w:r>
      <w:r>
        <w:rPr>
          <w:rFonts w:hint="eastAsia" w:ascii="仿宋" w:hAnsi="仿宋" w:eastAsia="仿宋" w:cs="仿宋"/>
          <w:color w:val="auto"/>
          <w:spacing w:val="0"/>
          <w:sz w:val="32"/>
          <w:szCs w:val="32"/>
          <w:highlight w:val="none"/>
        </w:rPr>
        <w:t>规划。</w:t>
      </w:r>
    </w:p>
    <w:p w14:paraId="726C60EE">
      <w:pPr>
        <w:pStyle w:val="3"/>
        <w:numPr>
          <w:ilvl w:val="1"/>
          <w:numId w:val="0"/>
        </w:numPr>
        <w:bidi w:val="0"/>
        <w:ind w:left="0" w:leftChars="0" w:firstLine="643" w:firstLineChars="200"/>
        <w:rPr>
          <w:rFonts w:hint="eastAsia" w:ascii="仿宋" w:hAnsi="仿宋" w:eastAsia="仿宋" w:cs="仿宋"/>
          <w:b/>
          <w:bCs w:val="0"/>
          <w:color w:val="auto"/>
          <w:spacing w:val="0"/>
          <w:highlight w:val="none"/>
          <w:lang w:val="en-US" w:eastAsia="zh-CN"/>
        </w:rPr>
      </w:pPr>
      <w:bookmarkStart w:id="7" w:name="_Toc21865"/>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highlight w:val="none"/>
          <w:lang w:val="en-US" w:eastAsia="zh-CN"/>
        </w:rPr>
        <w:t>规划依据</w:t>
      </w:r>
      <w:bookmarkEnd w:id="7"/>
    </w:p>
    <w:p w14:paraId="79BC943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themeColor="text1"/>
          <w:spacing w:val="0"/>
          <w:sz w:val="32"/>
          <w:szCs w:val="32"/>
          <w:highlight w:val="none"/>
          <w14:textFill>
            <w14:solidFill>
              <w14:schemeClr w14:val="tx1"/>
            </w14:solidFill>
          </w14:textFill>
        </w:rPr>
      </w:pPr>
      <w:r>
        <w:rPr>
          <w:rFonts w:hint="eastAsia" w:ascii="仿宋" w:hAnsi="仿宋" w:eastAsia="仿宋" w:cs="仿宋"/>
          <w:color w:val="000000" w:themeColor="text1"/>
          <w:spacing w:val="0"/>
          <w:sz w:val="32"/>
          <w:szCs w:val="32"/>
          <w:highlight w:val="none"/>
          <w14:textFill>
            <w14:solidFill>
              <w14:schemeClr w14:val="tx1"/>
            </w14:solidFill>
          </w14:textFill>
        </w:rPr>
        <w:t>本规划依据《中华人民共和国环境保护法》《中华人民共和国城乡规划法》《中华人民共和国固体废物污染环境防治法》</w:t>
      </w:r>
      <w:r>
        <w:rPr>
          <w:rFonts w:hint="eastAsia" w:ascii="仿宋" w:hAnsi="仿宋" w:eastAsia="仿宋" w:cs="仿宋"/>
          <w:color w:val="000000" w:themeColor="text1"/>
          <w:spacing w:val="0"/>
          <w:sz w:val="32"/>
          <w:szCs w:val="32"/>
          <w:highlight w:val="none"/>
          <w:lang w:eastAsia="zh-CN"/>
          <w14:textFill>
            <w14:solidFill>
              <w14:schemeClr w14:val="tx1"/>
            </w14:solidFill>
          </w14:textFill>
        </w:rPr>
        <w:t>《城市建筑垃圾管理规定》</w:t>
      </w:r>
      <w:r>
        <w:rPr>
          <w:rFonts w:hint="eastAsia" w:ascii="仿宋" w:hAnsi="仿宋" w:eastAsia="仿宋" w:cs="仿宋"/>
          <w:color w:val="000000" w:themeColor="text1"/>
          <w:spacing w:val="0"/>
          <w:sz w:val="32"/>
          <w:szCs w:val="32"/>
          <w:highlight w:val="none"/>
          <w14:textFill>
            <w14:solidFill>
              <w14:schemeClr w14:val="tx1"/>
            </w14:solidFill>
          </w14:textFill>
        </w:rPr>
        <w:t>《广东省建筑垃圾管理条例》</w:t>
      </w:r>
      <w:r>
        <w:rPr>
          <w:rFonts w:hint="eastAsia" w:ascii="仿宋" w:hAnsi="仿宋" w:cs="仿宋"/>
          <w:color w:val="000000" w:themeColor="text1"/>
          <w:spacing w:val="0"/>
          <w:sz w:val="32"/>
          <w:szCs w:val="32"/>
          <w:highlight w:val="none"/>
          <w:lang w:eastAsia="zh-CN"/>
          <w14:textFill>
            <w14:solidFill>
              <w14:schemeClr w14:val="tx1"/>
            </w14:solidFill>
          </w14:textFill>
        </w:rPr>
        <w:t>和</w:t>
      </w:r>
      <w:r>
        <w:rPr>
          <w:rFonts w:hint="eastAsia" w:ascii="仿宋" w:hAnsi="仿宋" w:eastAsia="仿宋" w:cs="仿宋"/>
          <w:color w:val="000000" w:themeColor="text1"/>
          <w:spacing w:val="0"/>
          <w:sz w:val="32"/>
          <w:szCs w:val="32"/>
          <w:highlight w:val="none"/>
          <w:lang w:eastAsia="zh-CN"/>
          <w14:textFill>
            <w14:solidFill>
              <w14:schemeClr w14:val="tx1"/>
            </w14:solidFill>
          </w14:textFill>
        </w:rPr>
        <w:t>《清远市市区建筑垃圾管理办法》</w:t>
      </w:r>
      <w:r>
        <w:rPr>
          <w:rFonts w:hint="eastAsia" w:ascii="仿宋" w:hAnsi="仿宋" w:eastAsia="仿宋" w:cs="仿宋"/>
          <w:color w:val="000000" w:themeColor="text1"/>
          <w:spacing w:val="0"/>
          <w:sz w:val="32"/>
          <w:szCs w:val="32"/>
          <w:highlight w:val="none"/>
          <w14:textFill>
            <w14:solidFill>
              <w14:schemeClr w14:val="tx1"/>
            </w14:solidFill>
          </w14:textFill>
        </w:rPr>
        <w:t>等法律法规，《广东省国土空间规划（2021-2035年）》《广东省国民经济和社会发展第十四个五年规划和2035年远景目标纲</w:t>
      </w:r>
      <w:r>
        <w:rPr>
          <w:rFonts w:hint="eastAsia" w:ascii="仿宋" w:hAnsi="仿宋" w:eastAsia="仿宋" w:cs="仿宋"/>
          <w:color w:val="000000" w:themeColor="text1"/>
          <w:spacing w:val="0"/>
          <w:sz w:val="32"/>
          <w:szCs w:val="32"/>
          <w:highlight w:val="none"/>
          <w:lang w:eastAsia="zh-CN"/>
          <w14:textFill>
            <w14:solidFill>
              <w14:schemeClr w14:val="tx1"/>
            </w14:solidFill>
          </w14:textFill>
        </w:rPr>
        <w:t>要》</w:t>
      </w:r>
      <w:r>
        <w:rPr>
          <w:rFonts w:hint="eastAsia" w:ascii="仿宋" w:hAnsi="仿宋" w:eastAsia="仿宋" w:cs="仿宋"/>
          <w:color w:val="000000" w:themeColor="text1"/>
          <w:spacing w:val="0"/>
          <w:sz w:val="32"/>
          <w:szCs w:val="32"/>
          <w:highlight w:val="none"/>
          <w14:textFill>
            <w14:solidFill>
              <w14:schemeClr w14:val="tx1"/>
            </w14:solidFill>
          </w14:textFill>
        </w:rPr>
        <w:t>《广东省生态环境保护“十四五”规划》《广东省生活垃圾处理“十四五”规划》《清远市国土空间总体规划（2021-2035年）》</w:t>
      </w:r>
      <w:r>
        <w:rPr>
          <w:rFonts w:hint="eastAsia" w:ascii="仿宋" w:hAnsi="仿宋" w:eastAsia="仿宋" w:cs="仿宋"/>
          <w:color w:val="000000" w:themeColor="text1"/>
          <w:spacing w:val="0"/>
          <w:sz w:val="32"/>
          <w:szCs w:val="32"/>
          <w:highlight w:val="none"/>
          <w:lang w:eastAsia="zh-CN"/>
          <w14:textFill>
            <w14:solidFill>
              <w14:schemeClr w14:val="tx1"/>
            </w14:solidFill>
          </w14:textFill>
        </w:rPr>
        <w:t>《清远市国民经济和社会发展第十四个五年规划和2035年远景目标纲要》《清远市城市管理“十四五”规划》</w:t>
      </w:r>
      <w:bookmarkStart w:id="8" w:name="_Toc13645"/>
      <w:r>
        <w:rPr>
          <w:rFonts w:hint="eastAsia" w:ascii="仿宋" w:hAnsi="仿宋" w:eastAsia="仿宋" w:cs="仿宋"/>
          <w:color w:val="000000" w:themeColor="text1"/>
          <w:spacing w:val="0"/>
          <w:sz w:val="32"/>
          <w:szCs w:val="32"/>
          <w:highlight w:val="none"/>
          <w:lang w:val="en-US" w:eastAsia="zh-CN"/>
          <w14:textFill>
            <w14:solidFill>
              <w14:schemeClr w14:val="tx1"/>
            </w14:solidFill>
          </w14:textFill>
        </w:rPr>
        <w:t>《清远市区建筑垃圾消纳处理场专项规划（2021-2035年）》</w:t>
      </w:r>
      <w:r>
        <w:rPr>
          <w:rFonts w:hint="eastAsia" w:ascii="仿宋" w:hAnsi="仿宋" w:cs="仿宋"/>
          <w:color w:val="000000" w:themeColor="text1"/>
          <w:spacing w:val="0"/>
          <w:sz w:val="32"/>
          <w:szCs w:val="32"/>
          <w:highlight w:val="none"/>
          <w:lang w:val="en-US" w:eastAsia="zh-CN"/>
          <w14:textFill>
            <w14:solidFill>
              <w14:schemeClr w14:val="tx1"/>
            </w14:solidFill>
          </w14:textFill>
        </w:rPr>
        <w:t>和</w:t>
      </w:r>
      <w:r>
        <w:rPr>
          <w:rFonts w:hint="eastAsia" w:ascii="仿宋" w:hAnsi="仿宋" w:eastAsia="仿宋" w:cs="仿宋"/>
          <w:color w:val="000000" w:themeColor="text1"/>
          <w:spacing w:val="0"/>
          <w:sz w:val="32"/>
          <w:szCs w:val="32"/>
          <w:highlight w:val="none"/>
          <w:lang w:eastAsia="zh-CN"/>
          <w14:textFill>
            <w14:solidFill>
              <w14:schemeClr w14:val="tx1"/>
            </w14:solidFill>
          </w14:textFill>
        </w:rPr>
        <w:t>《</w:t>
      </w:r>
      <w:r>
        <w:rPr>
          <w:rFonts w:hint="eastAsia" w:ascii="仿宋" w:hAnsi="仿宋" w:eastAsia="仿宋" w:cs="仿宋"/>
          <w:color w:val="000000" w:themeColor="text1"/>
          <w:spacing w:val="0"/>
          <w:sz w:val="32"/>
          <w:szCs w:val="32"/>
          <w:highlight w:val="none"/>
          <w:lang w:val="en-US" w:eastAsia="zh-CN"/>
          <w14:textFill>
            <w14:solidFill>
              <w14:schemeClr w14:val="tx1"/>
            </w14:solidFill>
          </w14:textFill>
        </w:rPr>
        <w:t>清远市建筑垃圾污染环境防治工作规划（2021-2035年）</w:t>
      </w:r>
      <w:bookmarkEnd w:id="8"/>
      <w:r>
        <w:rPr>
          <w:rFonts w:hint="eastAsia" w:ascii="仿宋" w:hAnsi="仿宋" w:eastAsia="仿宋" w:cs="仿宋"/>
          <w:color w:val="000000" w:themeColor="text1"/>
          <w:spacing w:val="0"/>
          <w:sz w:val="32"/>
          <w:szCs w:val="32"/>
          <w:highlight w:val="none"/>
          <w:lang w:val="en-US" w:eastAsia="zh-CN"/>
          <w14:textFill>
            <w14:solidFill>
              <w14:schemeClr w14:val="tx1"/>
            </w14:solidFill>
          </w14:textFill>
        </w:rPr>
        <w:t>》</w:t>
      </w:r>
      <w:r>
        <w:rPr>
          <w:rFonts w:hint="eastAsia" w:ascii="仿宋" w:hAnsi="仿宋" w:eastAsia="仿宋" w:cs="仿宋"/>
          <w:color w:val="000000" w:themeColor="text1"/>
          <w:spacing w:val="0"/>
          <w:sz w:val="32"/>
          <w:szCs w:val="32"/>
          <w:highlight w:val="none"/>
          <w14:textFill>
            <w14:solidFill>
              <w14:schemeClr w14:val="tx1"/>
            </w14:solidFill>
          </w14:textFill>
        </w:rPr>
        <w:t>等相关规划，《广东省建筑垃圾治理及资源化利用三年行动方案（2023-2025年）》</w:t>
      </w:r>
      <w:r>
        <w:rPr>
          <w:rFonts w:hint="eastAsia" w:ascii="仿宋" w:hAnsi="仿宋" w:cs="仿宋"/>
          <w:color w:val="000000" w:themeColor="text1"/>
          <w:spacing w:val="0"/>
          <w:sz w:val="32"/>
          <w:szCs w:val="32"/>
          <w:highlight w:val="none"/>
          <w:lang w:eastAsia="zh-CN"/>
          <w14:textFill>
            <w14:solidFill>
              <w14:schemeClr w14:val="tx1"/>
            </w14:solidFill>
          </w14:textFill>
        </w:rPr>
        <w:t>和</w:t>
      </w:r>
      <w:r>
        <w:rPr>
          <w:rFonts w:hint="eastAsia" w:ascii="仿宋" w:hAnsi="仿宋" w:eastAsia="仿宋" w:cs="仿宋"/>
          <w:color w:val="000000" w:themeColor="text1"/>
          <w:spacing w:val="0"/>
          <w:sz w:val="32"/>
          <w:szCs w:val="32"/>
          <w:highlight w:val="none"/>
          <w14:textFill>
            <w14:solidFill>
              <w14:schemeClr w14:val="tx1"/>
            </w14:solidFill>
          </w14:textFill>
        </w:rPr>
        <w:t>《广东省循环经济发展实施方案（2022-2025年）》等政策文件，《城市环境卫生设施规划标准》（GB/T 50337</w:t>
      </w:r>
      <w:r>
        <w:rPr>
          <w:rFonts w:hint="eastAsia" w:ascii="仿宋" w:hAnsi="仿宋" w:cs="仿宋"/>
          <w:color w:val="000000" w:themeColor="text1"/>
          <w:spacing w:val="0"/>
          <w:sz w:val="32"/>
          <w:szCs w:val="32"/>
          <w:highlight w:val="none"/>
          <w:lang w:val="en-US" w:eastAsia="zh-CN"/>
          <w14:textFill>
            <w14:solidFill>
              <w14:schemeClr w14:val="tx1"/>
            </w14:solidFill>
          </w14:textFill>
        </w:rPr>
        <w:t>-2018</w:t>
      </w:r>
      <w:r>
        <w:rPr>
          <w:rFonts w:hint="eastAsia" w:ascii="仿宋" w:hAnsi="仿宋" w:eastAsia="仿宋" w:cs="仿宋"/>
          <w:color w:val="000000" w:themeColor="text1"/>
          <w:spacing w:val="0"/>
          <w:sz w:val="32"/>
          <w:szCs w:val="32"/>
          <w:highlight w:val="none"/>
          <w14:textFill>
            <w14:solidFill>
              <w14:schemeClr w14:val="tx1"/>
            </w14:solidFill>
          </w14:textFill>
        </w:rPr>
        <w:t>）</w:t>
      </w:r>
      <w:r>
        <w:rPr>
          <w:rFonts w:hint="eastAsia" w:ascii="仿宋" w:hAnsi="仿宋" w:cs="仿宋"/>
          <w:color w:val="000000" w:themeColor="text1"/>
          <w:spacing w:val="0"/>
          <w:sz w:val="32"/>
          <w:szCs w:val="32"/>
          <w:highlight w:val="none"/>
          <w:lang w:eastAsia="zh-CN"/>
          <w14:textFill>
            <w14:solidFill>
              <w14:schemeClr w14:val="tx1"/>
            </w14:solidFill>
          </w14:textFill>
        </w:rPr>
        <w:t>《生活垃圾处理处置工程项目规范》</w:t>
      </w:r>
      <w:r>
        <w:rPr>
          <w:rFonts w:hint="eastAsia" w:ascii="仿宋" w:hAnsi="仿宋" w:eastAsia="仿宋" w:cs="仿宋"/>
          <w:color w:val="000000" w:themeColor="text1"/>
          <w:spacing w:val="0"/>
          <w:sz w:val="32"/>
          <w:szCs w:val="32"/>
          <w:highlight w:val="none"/>
          <w14:textFill>
            <w14:solidFill>
              <w14:schemeClr w14:val="tx1"/>
            </w14:solidFill>
          </w14:textFill>
        </w:rPr>
        <w:t>（GB</w:t>
      </w:r>
      <w:r>
        <w:rPr>
          <w:rFonts w:hint="eastAsia" w:ascii="仿宋" w:hAnsi="仿宋" w:cs="仿宋"/>
          <w:color w:val="000000" w:themeColor="text1"/>
          <w:spacing w:val="0"/>
          <w:sz w:val="32"/>
          <w:szCs w:val="32"/>
          <w:highlight w:val="none"/>
          <w:lang w:val="en-US" w:eastAsia="zh-CN"/>
          <w14:textFill>
            <w14:solidFill>
              <w14:schemeClr w14:val="tx1"/>
            </w14:solidFill>
          </w14:textFill>
        </w:rPr>
        <w:t xml:space="preserve"> 55012-2021</w:t>
      </w:r>
      <w:r>
        <w:rPr>
          <w:rFonts w:hint="eastAsia" w:ascii="仿宋" w:hAnsi="仿宋" w:eastAsia="仿宋" w:cs="仿宋"/>
          <w:color w:val="000000" w:themeColor="text1"/>
          <w:spacing w:val="0"/>
          <w:sz w:val="32"/>
          <w:szCs w:val="32"/>
          <w:highlight w:val="none"/>
          <w14:textFill>
            <w14:solidFill>
              <w14:schemeClr w14:val="tx1"/>
            </w14:solidFill>
          </w14:textFill>
        </w:rPr>
        <w:t>）</w:t>
      </w:r>
      <w:r>
        <w:rPr>
          <w:rFonts w:hint="eastAsia" w:ascii="仿宋" w:hAnsi="仿宋" w:cs="仿宋"/>
          <w:color w:val="000000" w:themeColor="text1"/>
          <w:spacing w:val="0"/>
          <w:sz w:val="32"/>
          <w:szCs w:val="32"/>
          <w:highlight w:val="none"/>
          <w:lang w:eastAsia="zh-CN"/>
          <w14:textFill>
            <w14:solidFill>
              <w14:schemeClr w14:val="tx1"/>
            </w14:solidFill>
          </w14:textFill>
        </w:rPr>
        <w:t>和</w:t>
      </w:r>
      <w:r>
        <w:rPr>
          <w:rFonts w:hint="eastAsia" w:ascii="仿宋" w:hAnsi="仿宋" w:eastAsia="仿宋" w:cs="仿宋"/>
          <w:color w:val="000000" w:themeColor="text1"/>
          <w:spacing w:val="0"/>
          <w:sz w:val="32"/>
          <w:szCs w:val="32"/>
          <w:highlight w:val="none"/>
          <w14:textFill>
            <w14:solidFill>
              <w14:schemeClr w14:val="tx1"/>
            </w14:solidFill>
          </w14:textFill>
        </w:rPr>
        <w:t>《建筑垃圾处理技术标准》（CJJ/T 134</w:t>
      </w:r>
      <w:r>
        <w:rPr>
          <w:rFonts w:hint="eastAsia" w:ascii="仿宋" w:hAnsi="仿宋" w:cs="仿宋"/>
          <w:color w:val="000000" w:themeColor="text1"/>
          <w:spacing w:val="0"/>
          <w:sz w:val="32"/>
          <w:szCs w:val="32"/>
          <w:highlight w:val="none"/>
          <w:lang w:val="en-US" w:eastAsia="zh-CN"/>
          <w14:textFill>
            <w14:solidFill>
              <w14:schemeClr w14:val="tx1"/>
            </w14:solidFill>
          </w14:textFill>
        </w:rPr>
        <w:t>-2019</w:t>
      </w:r>
      <w:r>
        <w:rPr>
          <w:rFonts w:hint="eastAsia" w:ascii="仿宋" w:hAnsi="仿宋" w:eastAsia="仿宋" w:cs="仿宋"/>
          <w:color w:val="000000" w:themeColor="text1"/>
          <w:spacing w:val="0"/>
          <w:sz w:val="32"/>
          <w:szCs w:val="32"/>
          <w:highlight w:val="none"/>
          <w14:textFill>
            <w14:solidFill>
              <w14:schemeClr w14:val="tx1"/>
            </w14:solidFill>
          </w14:textFill>
        </w:rPr>
        <w:t>）等标准规范，并结合</w:t>
      </w:r>
      <w:r>
        <w:rPr>
          <w:rFonts w:hint="eastAsia" w:ascii="仿宋" w:hAnsi="仿宋" w:eastAsia="仿宋" w:cs="仿宋"/>
          <w:color w:val="000000" w:themeColor="text1"/>
          <w:spacing w:val="0"/>
          <w:sz w:val="32"/>
          <w:szCs w:val="32"/>
          <w:highlight w:val="none"/>
          <w:lang w:val="en-US" w:eastAsia="zh-CN"/>
          <w14:textFill>
            <w14:solidFill>
              <w14:schemeClr w14:val="tx1"/>
            </w14:solidFill>
          </w14:textFill>
        </w:rPr>
        <w:t>清城区</w:t>
      </w:r>
      <w:r>
        <w:rPr>
          <w:rFonts w:hint="eastAsia" w:ascii="仿宋" w:hAnsi="仿宋" w:eastAsia="仿宋" w:cs="仿宋"/>
          <w:color w:val="000000" w:themeColor="text1"/>
          <w:spacing w:val="0"/>
          <w:sz w:val="32"/>
          <w:szCs w:val="32"/>
          <w:highlight w:val="none"/>
          <w14:textFill>
            <w14:solidFill>
              <w14:schemeClr w14:val="tx1"/>
            </w14:solidFill>
          </w14:textFill>
        </w:rPr>
        <w:t>实际情况而编制。本规划未作规定的相关指标，应符合国家、广东省</w:t>
      </w:r>
      <w:r>
        <w:rPr>
          <w:rFonts w:hint="eastAsia" w:ascii="仿宋" w:hAnsi="仿宋" w:eastAsia="仿宋" w:cs="仿宋"/>
          <w:color w:val="000000" w:themeColor="text1"/>
          <w:spacing w:val="0"/>
          <w:sz w:val="32"/>
          <w:szCs w:val="32"/>
          <w:highlight w:val="none"/>
          <w:lang w:eastAsia="zh-CN"/>
          <w14:textFill>
            <w14:solidFill>
              <w14:schemeClr w14:val="tx1"/>
            </w14:solidFill>
          </w14:textFill>
        </w:rPr>
        <w:t>、清远市</w:t>
      </w:r>
      <w:r>
        <w:rPr>
          <w:rFonts w:hint="eastAsia" w:ascii="仿宋" w:hAnsi="仿宋" w:eastAsia="仿宋" w:cs="仿宋"/>
          <w:color w:val="000000" w:themeColor="text1"/>
          <w:spacing w:val="0"/>
          <w:sz w:val="32"/>
          <w:szCs w:val="32"/>
          <w:highlight w:val="none"/>
          <w14:textFill>
            <w14:solidFill>
              <w14:schemeClr w14:val="tx1"/>
            </w14:solidFill>
          </w14:textFill>
        </w:rPr>
        <w:t>的相关法规、规范规定。</w:t>
      </w:r>
    </w:p>
    <w:p w14:paraId="54544DC3">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000000" w:themeColor="text1"/>
          <w:spacing w:val="0"/>
          <w:kern w:val="2"/>
          <w:sz w:val="32"/>
          <w:szCs w:val="32"/>
          <w:highlight w:val="none"/>
          <w:lang w:val="en-US" w:eastAsia="zh-CN" w:bidi="ar-SA"/>
          <w14:textFill>
            <w14:solidFill>
              <w14:schemeClr w14:val="tx1"/>
            </w14:solidFill>
          </w14:textFill>
        </w:rPr>
      </w:pPr>
      <w:bookmarkStart w:id="9" w:name="_Toc17470"/>
      <w:r>
        <w:rPr>
          <w:rFonts w:hint="eastAsia" w:ascii="仿宋" w:hAnsi="仿宋" w:eastAsia="方正楷体_GB2312" w:cs="仿宋"/>
          <w:b/>
          <w:bCs w:val="0"/>
          <w:color w:val="000000" w:themeColor="text1"/>
          <w:spacing w:val="0"/>
          <w:kern w:val="2"/>
          <w:sz w:val="32"/>
          <w:szCs w:val="32"/>
          <w:lang w:val="en-US" w:eastAsia="zh-CN" w:bidi="ar-SA"/>
          <w14:textFill>
            <w14:solidFill>
              <w14:schemeClr w14:val="tx1"/>
            </w14:solidFill>
          </w14:textFill>
        </w:rPr>
        <w:t>（三）</w:t>
      </w:r>
      <w:r>
        <w:rPr>
          <w:rFonts w:hint="eastAsia" w:ascii="仿宋" w:hAnsi="仿宋" w:eastAsia="仿宋" w:cs="仿宋"/>
          <w:b/>
          <w:bCs w:val="0"/>
          <w:color w:val="000000" w:themeColor="text1"/>
          <w:spacing w:val="0"/>
          <w:kern w:val="2"/>
          <w:sz w:val="32"/>
          <w:szCs w:val="32"/>
          <w:highlight w:val="none"/>
          <w:lang w:val="en-US" w:eastAsia="zh-CN" w:bidi="ar-SA"/>
          <w14:textFill>
            <w14:solidFill>
              <w14:schemeClr w14:val="tx1"/>
            </w14:solidFill>
          </w14:textFill>
        </w:rPr>
        <w:t>规划范围</w:t>
      </w:r>
      <w:bookmarkEnd w:id="9"/>
    </w:p>
    <w:p w14:paraId="0F25F90A">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本规划范围为清远市清城区行政管辖范围。范围包括清城区管辖的4个街道、4个镇：</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"https://baike.baidu.com/item/%E5%87%A4%E5%9F%8E%E8%A1%97%E9%81%93/10412840?fromModule=lemma_inlink"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凤城街道</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"https://baike.baidu.com/item/%E4%B8%9C%E5%9F%8E%E8%A1%97%E9%81%93/2985183?fromModule=lemma_inlink"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东城街道</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"https://baike.baidu.com/item/%E6%B4%B2%E5%BF%83%E8%A1%97%E9%81%93/12751026?fromModule=lemma_inlink"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洲心街道</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"https://baike.baidu.com/item/%E6%A8%AA%E8%8D%B7%E8%A1%97%E9%81%93/2386715?fromModule=lemma_inlink"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横荷街道</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"https://baike.baidu.com/item/%E6%BA%90%E6%BD%AD%E9%95%87/12953?fromModule=lemma_inlink"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源潭镇</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"https://baike.baidu.com/item/%E9%BE%99%E5%A1%98%E9%95%87/12756117?fromModule=lemma_inlink"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龙塘镇</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"https://baike.baidu.com/item/%E7%9F%B3%E8%A7%92%E9%95%87/10947?fromModule=lemma_inlink"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石角镇</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fldChar w:fldCharType="begin"/>
      </w:r>
      <w:r>
        <w:rPr>
          <w:rFonts w:hint="eastAsia" w:ascii="仿宋" w:hAnsi="仿宋" w:eastAsia="仿宋" w:cs="仿宋"/>
          <w:color w:val="auto"/>
          <w:spacing w:val="0"/>
          <w:kern w:val="2"/>
          <w:sz w:val="32"/>
          <w:szCs w:val="32"/>
          <w:highlight w:val="none"/>
          <w:lang w:val="en-US" w:eastAsia="zh-CN" w:bidi="ar-SA"/>
        </w:rPr>
        <w:instrText xml:space="preserve"> HYPERLINK "https://baike.baidu.com/item/%E9%A3%9E%E6%9D%A5%E5%B3%A1%E9%95%87/5378825?fromModule=lemma_inlink" \t "https://baike.baidu.com/item/%E6%B8%85%E5%9F%8E%E5%8C%BA/_blank" </w:instrText>
      </w:r>
      <w:r>
        <w:rPr>
          <w:rFonts w:hint="eastAsia" w:ascii="仿宋" w:hAnsi="仿宋" w:eastAsia="仿宋" w:cs="仿宋"/>
          <w:color w:val="auto"/>
          <w:spacing w:val="0"/>
          <w:kern w:val="2"/>
          <w:sz w:val="32"/>
          <w:szCs w:val="32"/>
          <w:highlight w:val="none"/>
          <w:lang w:val="en-US" w:eastAsia="zh-CN" w:bidi="ar-SA"/>
        </w:rPr>
        <w:fldChar w:fldCharType="separate"/>
      </w:r>
      <w:r>
        <w:rPr>
          <w:rFonts w:hint="eastAsia" w:ascii="仿宋" w:hAnsi="仿宋" w:eastAsia="仿宋" w:cs="仿宋"/>
          <w:color w:val="auto"/>
          <w:spacing w:val="0"/>
          <w:kern w:val="2"/>
          <w:sz w:val="32"/>
          <w:szCs w:val="32"/>
          <w:highlight w:val="none"/>
          <w:lang w:val="en-US" w:eastAsia="zh-CN" w:bidi="ar-SA"/>
        </w:rPr>
        <w:t>飞来峡镇</w:t>
      </w:r>
      <w:r>
        <w:rPr>
          <w:rFonts w:hint="eastAsia" w:ascii="仿宋" w:hAnsi="仿宋" w:eastAsia="仿宋" w:cs="仿宋"/>
          <w:color w:val="auto"/>
          <w:spacing w:val="0"/>
          <w:kern w:val="2"/>
          <w:sz w:val="32"/>
          <w:szCs w:val="32"/>
          <w:highlight w:val="none"/>
          <w:lang w:val="en-US" w:eastAsia="zh-CN" w:bidi="ar-SA"/>
        </w:rPr>
        <w:fldChar w:fldCharType="end"/>
      </w:r>
      <w:r>
        <w:rPr>
          <w:rFonts w:hint="eastAsia" w:ascii="仿宋" w:hAnsi="仿宋" w:eastAsia="仿宋" w:cs="仿宋"/>
          <w:color w:val="auto"/>
          <w:spacing w:val="0"/>
          <w:kern w:val="2"/>
          <w:sz w:val="32"/>
          <w:szCs w:val="32"/>
          <w:highlight w:val="none"/>
          <w:lang w:val="en-US" w:eastAsia="zh-CN" w:bidi="ar-SA"/>
        </w:rPr>
        <w:t>，总面积为1296.31平方公里。</w:t>
      </w:r>
    </w:p>
    <w:p w14:paraId="379732F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10" w:name="_Toc13017"/>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规划期限</w:t>
      </w:r>
      <w:bookmarkEnd w:id="10"/>
    </w:p>
    <w:p w14:paraId="2DC72C3E">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spacing w:val="0"/>
          <w:kern w:val="2"/>
          <w:sz w:val="32"/>
          <w:szCs w:val="32"/>
          <w:highlight w:val="none"/>
          <w:lang w:val="en-US" w:eastAsia="zh-CN" w:bidi="ar-SA"/>
          <w14:textFill>
            <w14:solidFill>
              <w14:schemeClr w14:val="tx1"/>
            </w14:solidFill>
          </w14:textFill>
        </w:rPr>
        <w:t>1.规划期限：</w:t>
      </w:r>
      <w:r>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t>2024-2030年。规划期限与《广东省建筑垃圾污染环境防治工作规划（2024-2030年）》《清远市建筑垃圾污染环境防治工作规划（2024-2030年）》保持一致。</w:t>
      </w:r>
    </w:p>
    <w:p w14:paraId="367E688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spacing w:val="0"/>
          <w:kern w:val="2"/>
          <w:sz w:val="32"/>
          <w:szCs w:val="32"/>
          <w:highlight w:val="none"/>
          <w:lang w:val="en-US" w:eastAsia="zh-CN" w:bidi="ar-SA"/>
          <w14:textFill>
            <w14:solidFill>
              <w14:schemeClr w14:val="tx1"/>
            </w14:solidFill>
          </w14:textFill>
        </w:rPr>
        <w:t>2.规划基准年：</w:t>
      </w:r>
      <w:r>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t>2023年</w:t>
      </w:r>
    </w:p>
    <w:p w14:paraId="7381645C">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spacing w:val="0"/>
          <w:kern w:val="2"/>
          <w:sz w:val="32"/>
          <w:szCs w:val="32"/>
          <w:highlight w:val="none"/>
          <w:lang w:val="en-US" w:eastAsia="zh-CN" w:bidi="ar-SA"/>
          <w14:textFill>
            <w14:solidFill>
              <w14:schemeClr w14:val="tx1"/>
            </w14:solidFill>
          </w14:textFill>
        </w:rPr>
        <w:t>3.规划近期：</w:t>
      </w:r>
      <w:r>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t>2024-2026年</w:t>
      </w:r>
    </w:p>
    <w:p w14:paraId="4179C197">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spacing w:val="0"/>
          <w:kern w:val="2"/>
          <w:sz w:val="32"/>
          <w:szCs w:val="32"/>
          <w:highlight w:val="none"/>
          <w:lang w:val="en-US" w:eastAsia="zh-CN" w:bidi="ar-SA"/>
          <w14:textFill>
            <w14:solidFill>
              <w14:schemeClr w14:val="tx1"/>
            </w14:solidFill>
          </w14:textFill>
        </w:rPr>
        <w:t>4.规划远期：</w:t>
      </w:r>
      <w:r>
        <w:rPr>
          <w:rFonts w:hint="eastAsia" w:ascii="仿宋" w:hAnsi="仿宋" w:eastAsia="仿宋" w:cs="仿宋"/>
          <w:color w:val="000000" w:themeColor="text1"/>
          <w:spacing w:val="0"/>
          <w:kern w:val="2"/>
          <w:sz w:val="32"/>
          <w:szCs w:val="32"/>
          <w:highlight w:val="none"/>
          <w:lang w:val="en-US" w:eastAsia="zh-CN" w:bidi="ar-SA"/>
          <w14:textFill>
            <w14:solidFill>
              <w14:schemeClr w14:val="tx1"/>
            </w14:solidFill>
          </w14:textFill>
        </w:rPr>
        <w:t>2027-2030年</w:t>
      </w:r>
    </w:p>
    <w:p w14:paraId="39F67FD1">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11" w:name="_Toc10282"/>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建筑垃圾的定义</w:t>
      </w:r>
      <w:bookmarkEnd w:id="11"/>
    </w:p>
    <w:p w14:paraId="3E36E3F0">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根据《中华人民共和国固体废物污染环境防治法》</w:t>
      </w:r>
      <w:r>
        <w:rPr>
          <w:rFonts w:hint="eastAsia" w:ascii="仿宋" w:hAnsi="仿宋" w:eastAsia="仿宋" w:cs="仿宋"/>
          <w:color w:val="auto"/>
          <w:spacing w:val="0"/>
          <w:sz w:val="32"/>
          <w:szCs w:val="32"/>
          <w:highlight w:val="none"/>
        </w:rPr>
        <w:t>《建筑垃圾处理技术标准》（CJJ/T 134</w:t>
      </w:r>
      <w:r>
        <w:rPr>
          <w:rFonts w:hint="eastAsia" w:ascii="仿宋" w:hAnsi="仿宋" w:eastAsia="仿宋" w:cs="仿宋"/>
          <w:color w:val="auto"/>
          <w:spacing w:val="0"/>
          <w:sz w:val="32"/>
          <w:szCs w:val="32"/>
          <w:highlight w:val="none"/>
          <w:lang w:val="en-US" w:eastAsia="zh-CN"/>
        </w:rPr>
        <w:t>-2019</w:t>
      </w:r>
      <w:r>
        <w:rPr>
          <w:rFonts w:hint="eastAsia" w:ascii="仿宋" w:hAnsi="仿宋" w:eastAsia="仿宋" w:cs="仿宋"/>
          <w:color w:val="auto"/>
          <w:spacing w:val="0"/>
          <w:sz w:val="32"/>
          <w:szCs w:val="32"/>
          <w:highlight w:val="none"/>
        </w:rPr>
        <w:t>）</w:t>
      </w:r>
      <w:r>
        <w:rPr>
          <w:rFonts w:hint="eastAsia" w:ascii="仿宋" w:hAnsi="仿宋" w:eastAsia="仿宋" w:cs="仿宋"/>
          <w:color w:val="auto"/>
          <w:spacing w:val="0"/>
          <w:kern w:val="2"/>
          <w:sz w:val="32"/>
          <w:szCs w:val="32"/>
          <w:highlight w:val="none"/>
          <w:lang w:val="en-US" w:eastAsia="zh-CN" w:bidi="ar-SA"/>
        </w:rPr>
        <w:t>，建筑垃圾是指建设单位、施工单位新建、改建、扩建和拆除各类建筑物、构筑物、管网等，以及居民装饰装修房屋过程中产生的弃土、弃料和其他固体废物，不包括检验鉴定为危险废物的建筑垃圾。建筑垃圾可分为5大类，分别为工程渣土、工程泥浆、工程垃圾、拆除垃圾和装修垃圾。具体如下：</w:t>
      </w:r>
    </w:p>
    <w:p w14:paraId="66B644E0">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1.工程渣土：</w:t>
      </w:r>
      <w:r>
        <w:rPr>
          <w:rFonts w:hint="eastAsia" w:ascii="仿宋" w:hAnsi="仿宋" w:eastAsia="仿宋" w:cs="仿宋"/>
          <w:color w:val="auto"/>
          <w:spacing w:val="0"/>
          <w:kern w:val="2"/>
          <w:sz w:val="32"/>
          <w:szCs w:val="32"/>
          <w:highlight w:val="none"/>
          <w:lang w:val="en-US" w:eastAsia="zh-CN" w:bidi="ar-SA"/>
        </w:rPr>
        <w:t>指各类建筑物、构筑物、管网等基础开挖过程中产生的弃土。</w:t>
      </w:r>
    </w:p>
    <w:p w14:paraId="5D080665">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2.工程泥浆：</w:t>
      </w:r>
      <w:r>
        <w:rPr>
          <w:rFonts w:hint="eastAsia" w:ascii="仿宋" w:hAnsi="仿宋" w:eastAsia="仿宋" w:cs="仿宋"/>
          <w:color w:val="auto"/>
          <w:spacing w:val="0"/>
          <w:kern w:val="2"/>
          <w:sz w:val="32"/>
          <w:szCs w:val="32"/>
          <w:highlight w:val="none"/>
          <w:lang w:val="en-US" w:eastAsia="zh-CN" w:bidi="ar-SA"/>
        </w:rPr>
        <w:t>指钻孔桩基施工、地下连续墙施工、泥水盾构施工、水平定向钻及泥水顶管等施工产生的泥浆。</w:t>
      </w:r>
    </w:p>
    <w:p w14:paraId="5074B82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3.工程垃圾：</w:t>
      </w:r>
      <w:r>
        <w:rPr>
          <w:rFonts w:hint="eastAsia" w:ascii="仿宋" w:hAnsi="仿宋" w:eastAsia="仿宋" w:cs="仿宋"/>
          <w:color w:val="auto"/>
          <w:spacing w:val="0"/>
          <w:kern w:val="2"/>
          <w:sz w:val="32"/>
          <w:szCs w:val="32"/>
          <w:highlight w:val="none"/>
          <w:lang w:val="en-US" w:eastAsia="zh-CN" w:bidi="ar-SA"/>
        </w:rPr>
        <w:t>指各类建筑物、构筑物等建设过程中产生的弃料；是各类建筑物、构筑物等建设过程中产生的以金属、混凝土、沥青（主要为道路沥青混凝土）和模板等为主要成分的弃料。</w:t>
      </w:r>
    </w:p>
    <w:p w14:paraId="0353EABF">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4.拆除垃圾：</w:t>
      </w:r>
      <w:r>
        <w:rPr>
          <w:rFonts w:hint="eastAsia" w:ascii="仿宋" w:hAnsi="仿宋" w:eastAsia="仿宋" w:cs="仿宋"/>
          <w:color w:val="auto"/>
          <w:spacing w:val="0"/>
          <w:kern w:val="2"/>
          <w:sz w:val="32"/>
          <w:szCs w:val="32"/>
          <w:highlight w:val="none"/>
          <w:lang w:val="en-US" w:eastAsia="zh-CN" w:bidi="ar-SA"/>
        </w:rPr>
        <w:t>指各类建筑物、构筑物等拆除过程中产生的弃料；是各类建筑物、构筑物等拆除过程中产生的以金属、混凝土、沥青（主要为道路沥青混凝土）、砖瓦、陶瓷、玻璃、木材、塑料、土等为主要成分的弃料。</w:t>
      </w:r>
    </w:p>
    <w:p w14:paraId="727CA3FD">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5.装修垃圾：</w:t>
      </w:r>
      <w:r>
        <w:rPr>
          <w:rFonts w:hint="eastAsia" w:ascii="仿宋" w:hAnsi="仿宋" w:eastAsia="仿宋" w:cs="仿宋"/>
          <w:color w:val="auto"/>
          <w:spacing w:val="0"/>
          <w:kern w:val="2"/>
          <w:sz w:val="32"/>
          <w:szCs w:val="32"/>
          <w:highlight w:val="none"/>
          <w:lang w:val="en-US" w:eastAsia="zh-CN" w:bidi="ar-SA"/>
        </w:rPr>
        <w:t>指装饰装修房屋过程中产生的废弃物；是装饰装修房屋过程中产生的以金属、混凝土、砖瓦、陶瓷、玻璃、木材、塑料、石膏、涂料、土等为主要成分的废弃物。</w:t>
      </w:r>
    </w:p>
    <w:p w14:paraId="3762F3F0">
      <w:pPr>
        <w:pStyle w:val="2"/>
        <w:numPr>
          <w:ilvl w:val="0"/>
          <w:numId w:val="0"/>
        </w:numPr>
        <w:bidi w:val="0"/>
        <w:ind w:left="420" w:leftChars="0" w:firstLine="321" w:firstLineChars="100"/>
        <w:rPr>
          <w:rFonts w:hint="eastAsia" w:ascii="仿宋" w:hAnsi="仿宋" w:eastAsia="仿宋" w:cs="仿宋"/>
          <w:b/>
          <w:bCs/>
          <w:color w:val="auto"/>
          <w:spacing w:val="0"/>
          <w:highlight w:val="none"/>
          <w:lang w:val="en-US" w:eastAsia="zh-CN"/>
        </w:rPr>
      </w:pPr>
      <w:bookmarkStart w:id="12" w:name="_Toc28032"/>
      <w:r>
        <w:rPr>
          <w:rFonts w:hint="eastAsia" w:ascii="仿宋" w:hAnsi="仿宋" w:eastAsia="黑体" w:cs="仿宋"/>
          <w:b/>
          <w:bCs/>
          <w:color w:val="auto"/>
          <w:spacing w:val="0"/>
          <w:kern w:val="0"/>
          <w:sz w:val="32"/>
          <w:szCs w:val="32"/>
          <w:lang w:val="en-US" w:eastAsia="zh-CN" w:bidi="ar-SA"/>
        </w:rPr>
        <w:t>二、</w:t>
      </w:r>
      <w:r>
        <w:rPr>
          <w:rFonts w:hint="eastAsia" w:ascii="仿宋" w:hAnsi="仿宋" w:eastAsia="仿宋" w:cs="仿宋"/>
          <w:b/>
          <w:bCs/>
          <w:color w:val="auto"/>
          <w:spacing w:val="0"/>
          <w:highlight w:val="none"/>
          <w:lang w:val="en-US" w:eastAsia="zh-CN"/>
        </w:rPr>
        <w:t>建筑垃圾产生处理现状及趋势分析</w:t>
      </w:r>
      <w:bookmarkEnd w:id="12"/>
    </w:p>
    <w:p w14:paraId="09A10BC0">
      <w:pPr>
        <w:pStyle w:val="3"/>
        <w:numPr>
          <w:ilvl w:val="1"/>
          <w:numId w:val="0"/>
        </w:numPr>
        <w:bidi w:val="0"/>
        <w:ind w:left="0" w:leftChars="0" w:firstLine="643" w:firstLineChars="200"/>
        <w:rPr>
          <w:rFonts w:hint="eastAsia" w:ascii="仿宋" w:hAnsi="仿宋" w:eastAsia="仿宋" w:cs="仿宋"/>
          <w:b/>
          <w:bCs w:val="0"/>
          <w:color w:val="auto"/>
          <w:spacing w:val="0"/>
          <w:highlight w:val="none"/>
          <w:lang w:val="en-US" w:eastAsia="zh-CN"/>
        </w:rPr>
      </w:pPr>
      <w:bookmarkStart w:id="13" w:name="_Toc13203"/>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highlight w:val="none"/>
          <w:lang w:val="en-US" w:eastAsia="zh-CN"/>
        </w:rPr>
        <w:t>现状情况</w:t>
      </w:r>
      <w:bookmarkEnd w:id="13"/>
    </w:p>
    <w:p w14:paraId="28F0599B">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Times New Roman" w:hAnsi="Times New Roman" w:eastAsia="仿宋_GB2312" w:cs="仿宋_GB2312"/>
          <w:b/>
          <w:bCs/>
          <w:color w:val="auto"/>
          <w:spacing w:val="0"/>
          <w:kern w:val="2"/>
          <w:sz w:val="32"/>
          <w:szCs w:val="32"/>
          <w:highlight w:val="none"/>
          <w:lang w:val="en-US" w:eastAsia="zh-CN" w:bidi="ar-SA"/>
        </w:rPr>
        <w:t>1.建筑垃圾</w:t>
      </w:r>
      <w:r>
        <w:rPr>
          <w:rFonts w:hint="eastAsia" w:ascii="Times New Roman" w:hAnsi="Times New Roman" w:cs="仿宋_GB2312"/>
          <w:b/>
          <w:bCs/>
          <w:color w:val="auto"/>
          <w:spacing w:val="0"/>
          <w:kern w:val="2"/>
          <w:sz w:val="32"/>
          <w:szCs w:val="32"/>
          <w:highlight w:val="none"/>
          <w:lang w:val="en-US" w:eastAsia="zh-CN" w:bidi="ar-SA"/>
        </w:rPr>
        <w:t>排放量</w:t>
      </w:r>
      <w:r>
        <w:rPr>
          <w:rFonts w:hint="eastAsia" w:ascii="Times New Roman" w:hAnsi="Times New Roman" w:eastAsia="仿宋_GB2312" w:cs="仿宋_GB2312"/>
          <w:b/>
          <w:bCs/>
          <w:color w:val="auto"/>
          <w:spacing w:val="0"/>
          <w:kern w:val="2"/>
          <w:sz w:val="32"/>
          <w:szCs w:val="32"/>
          <w:highlight w:val="none"/>
          <w:lang w:val="en-US" w:eastAsia="zh-CN" w:bidi="ar-SA"/>
        </w:rPr>
        <w:t>：</w:t>
      </w:r>
      <w:r>
        <w:rPr>
          <w:rFonts w:hint="eastAsia" w:ascii="仿宋" w:hAnsi="仿宋" w:eastAsia="仿宋" w:cs="仿宋"/>
          <w:color w:val="auto"/>
          <w:spacing w:val="0"/>
          <w:kern w:val="2"/>
          <w:sz w:val="32"/>
          <w:szCs w:val="32"/>
          <w:highlight w:val="none"/>
          <w:lang w:val="en-US" w:eastAsia="zh-CN" w:bidi="ar-SA"/>
        </w:rPr>
        <w:t>2024年清城区建筑垃圾排放许可68宗，建筑垃圾产生数量190.97万m³；其中工程渣土150.20万m³，工程泥浆2.20万m³，工程垃圾3.82万m³，拆除垃圾15.52万m³，装修垃圾19.23万m³。</w:t>
      </w:r>
    </w:p>
    <w:p w14:paraId="208E1251">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建筑垃圾种类大部分都是工程渣土。</w:t>
      </w:r>
    </w:p>
    <w:p w14:paraId="5FC655F1">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cs="仿宋_GB2312"/>
          <w:b/>
          <w:bCs/>
          <w:color w:val="auto"/>
          <w:spacing w:val="0"/>
          <w:kern w:val="2"/>
          <w:sz w:val="32"/>
          <w:szCs w:val="32"/>
          <w:highlight w:val="none"/>
          <w:lang w:val="en-US" w:eastAsia="zh-CN" w:bidi="ar-SA"/>
        </w:rPr>
        <w:t>2</w:t>
      </w:r>
      <w:r>
        <w:rPr>
          <w:rFonts w:hint="eastAsia" w:ascii="Times New Roman" w:hAnsi="Times New Roman" w:eastAsia="仿宋_GB2312" w:cs="仿宋_GB2312"/>
          <w:b/>
          <w:bCs/>
          <w:color w:val="auto"/>
          <w:spacing w:val="0"/>
          <w:kern w:val="2"/>
          <w:sz w:val="32"/>
          <w:szCs w:val="32"/>
          <w:highlight w:val="none"/>
          <w:lang w:val="en-US" w:eastAsia="zh-CN" w:bidi="ar-SA"/>
        </w:rPr>
        <w:t>.建筑垃圾处置量：</w:t>
      </w:r>
      <w:r>
        <w:rPr>
          <w:rFonts w:hint="eastAsia" w:ascii="仿宋" w:hAnsi="仿宋" w:eastAsia="仿宋" w:cs="仿宋"/>
          <w:color w:val="auto"/>
          <w:spacing w:val="0"/>
          <w:kern w:val="2"/>
          <w:sz w:val="32"/>
          <w:szCs w:val="32"/>
          <w:highlight w:val="none"/>
          <w:u w:val="none"/>
          <w:lang w:val="en-US" w:eastAsia="zh-CN" w:bidi="ar-SA"/>
        </w:rPr>
        <w:t>2024年清城区建筑垃圾处置量160.48万立方米。其中，消纳场消纳0.01万立方米，资源化利用7.03万立方米，工程回填/土地平整152.93万立方米，其他（包括堆山造景、修基筑路、筛分后进行焚烧处理等）0.51万立方米，无跨地级以上市处置建筑垃圾。</w:t>
      </w:r>
    </w:p>
    <w:p w14:paraId="75EE8D69">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清城区建筑垃圾产生量现状表（单位：万m³）</w:t>
      </w:r>
    </w:p>
    <w:tbl>
      <w:tblPr>
        <w:tblStyle w:val="44"/>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2"/>
        <w:gridCol w:w="1304"/>
        <w:gridCol w:w="1304"/>
        <w:gridCol w:w="1304"/>
        <w:gridCol w:w="1304"/>
        <w:gridCol w:w="1304"/>
        <w:gridCol w:w="1304"/>
      </w:tblGrid>
      <w:tr w14:paraId="6CE66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5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E20B2E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highlight w:val="none"/>
                <w:u w:val="none"/>
                <w:lang w:val="en-US" w:eastAsia="zh-CN" w:bidi="ar"/>
              </w:rPr>
            </w:pPr>
            <w:r>
              <w:rPr>
                <w:rFonts w:hint="eastAsia" w:ascii="仿宋" w:hAnsi="仿宋" w:eastAsia="仿宋" w:cs="仿宋"/>
                <w:i w:val="0"/>
                <w:iCs w:val="0"/>
                <w:color w:val="000000"/>
                <w:kern w:val="0"/>
                <w:sz w:val="28"/>
                <w:szCs w:val="28"/>
                <w:highlight w:val="none"/>
                <w:u w:val="none"/>
                <w:lang w:val="en-US" w:eastAsia="zh-CN" w:bidi="ar"/>
              </w:rPr>
              <w:t>时间（年）</w:t>
            </w:r>
          </w:p>
        </w:tc>
        <w:tc>
          <w:tcPr>
            <w:tcW w:w="130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947EC5D">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建筑垃圾总量</w:t>
            </w:r>
          </w:p>
        </w:tc>
        <w:tc>
          <w:tcPr>
            <w:tcW w:w="130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0124B72">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工程渣土</w:t>
            </w:r>
          </w:p>
        </w:tc>
        <w:tc>
          <w:tcPr>
            <w:tcW w:w="130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E4F1661">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工程泥浆</w:t>
            </w:r>
          </w:p>
        </w:tc>
        <w:tc>
          <w:tcPr>
            <w:tcW w:w="130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D94AB2E">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工程垃圾</w:t>
            </w:r>
          </w:p>
        </w:tc>
        <w:tc>
          <w:tcPr>
            <w:tcW w:w="130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646ED134">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拆除垃圾</w:t>
            </w:r>
          </w:p>
        </w:tc>
        <w:tc>
          <w:tcPr>
            <w:tcW w:w="1304"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71BA1DC">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装修垃圾</w:t>
            </w:r>
          </w:p>
        </w:tc>
      </w:tr>
      <w:tr w14:paraId="04C8A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803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8"/>
                <w:szCs w:val="28"/>
                <w:highlight w:val="none"/>
                <w:u w:val="none"/>
                <w:lang w:val="en-US" w:eastAsia="zh-CN" w:bidi="ar"/>
              </w:rPr>
            </w:pPr>
            <w:r>
              <w:rPr>
                <w:rFonts w:hint="eastAsia" w:ascii="仿宋" w:hAnsi="仿宋" w:eastAsia="仿宋" w:cs="仿宋"/>
                <w:i w:val="0"/>
                <w:iCs w:val="0"/>
                <w:color w:val="000000"/>
                <w:kern w:val="0"/>
                <w:sz w:val="28"/>
                <w:szCs w:val="28"/>
                <w:highlight w:val="none"/>
                <w:u w:val="none"/>
                <w:lang w:val="en-US" w:eastAsia="zh-CN" w:bidi="ar"/>
              </w:rPr>
              <w:t>2024</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4CDB2">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 xml:space="preserve">190.97 </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6F741">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 xml:space="preserve">150.20 </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62ADE">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 xml:space="preserve">2.20 </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FC70">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 xml:space="preserve">3.82 </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6B5A">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 xml:space="preserve">15.52 </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976C">
            <w:pPr>
              <w:keepNext w:val="0"/>
              <w:keepLines w:val="0"/>
              <w:widowControl/>
              <w:suppressLineNumbers w:val="0"/>
              <w:spacing w:line="240" w:lineRule="auto"/>
              <w:jc w:val="center"/>
              <w:textAlignment w:val="center"/>
              <w:rPr>
                <w:rFonts w:hint="eastAsia" w:ascii="仿宋" w:hAnsi="仿宋" w:eastAsia="仿宋" w:cs="仿宋"/>
                <w:b w:val="0"/>
                <w:bCs w:val="0"/>
                <w:i w:val="0"/>
                <w:iCs w:val="0"/>
                <w:color w:val="000000"/>
                <w:kern w:val="0"/>
                <w:sz w:val="28"/>
                <w:szCs w:val="28"/>
                <w:highlight w:val="none"/>
                <w:u w:val="none"/>
                <w:lang w:val="en-US" w:eastAsia="zh-CN" w:bidi="ar"/>
              </w:rPr>
            </w:pPr>
            <w:r>
              <w:rPr>
                <w:rFonts w:hint="eastAsia" w:ascii="仿宋" w:hAnsi="仿宋" w:eastAsia="仿宋" w:cs="仿宋"/>
                <w:b w:val="0"/>
                <w:bCs w:val="0"/>
                <w:i w:val="0"/>
                <w:iCs w:val="0"/>
                <w:color w:val="000000"/>
                <w:kern w:val="0"/>
                <w:sz w:val="28"/>
                <w:szCs w:val="28"/>
                <w:highlight w:val="none"/>
                <w:u w:val="none"/>
                <w:lang w:val="en-US" w:eastAsia="zh-CN" w:bidi="ar"/>
              </w:rPr>
              <w:t xml:space="preserve">19.23 </w:t>
            </w:r>
          </w:p>
        </w:tc>
      </w:tr>
    </w:tbl>
    <w:p w14:paraId="5BD7ED0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yellow"/>
          <w:u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建筑垃圾处置设施建设情况：</w:t>
      </w:r>
      <w:r>
        <w:rPr>
          <w:rFonts w:hint="eastAsia" w:ascii="仿宋" w:hAnsi="仿宋" w:eastAsia="仿宋" w:cs="仿宋"/>
          <w:color w:val="auto"/>
          <w:spacing w:val="0"/>
          <w:kern w:val="2"/>
          <w:sz w:val="32"/>
          <w:szCs w:val="32"/>
          <w:highlight w:val="none"/>
          <w:u w:val="none"/>
          <w:lang w:val="en-US" w:eastAsia="zh-CN" w:bidi="ar-SA"/>
        </w:rPr>
        <w:t>截至2024年底，清城区建成7处建筑垃圾临时消纳场所，包括3处建筑垃圾临时消纳场（东城、洲心、石角）和4处建筑垃圾收集点（转运站）（凤城、龙塘、飞来峡、源潭），目前均已投入使用，年均处理值合计125万吨。</w:t>
      </w:r>
    </w:p>
    <w:p w14:paraId="2A3A3F1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14" w:name="_Toc19783"/>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u w:val="none"/>
          <w:lang w:val="en-US" w:eastAsia="zh-CN" w:bidi="ar-SA"/>
        </w:rPr>
        <w:t>建筑垃圾产生</w:t>
      </w:r>
      <w:r>
        <w:rPr>
          <w:rFonts w:hint="eastAsia" w:ascii="仿宋" w:hAnsi="仿宋" w:eastAsia="仿宋" w:cs="仿宋"/>
          <w:b/>
          <w:bCs w:val="0"/>
          <w:color w:val="auto"/>
          <w:spacing w:val="0"/>
          <w:kern w:val="2"/>
          <w:sz w:val="32"/>
          <w:szCs w:val="32"/>
          <w:highlight w:val="none"/>
          <w:lang w:val="en-US" w:eastAsia="zh-CN" w:bidi="ar-SA"/>
        </w:rPr>
        <w:t>量预测</w:t>
      </w:r>
      <w:bookmarkEnd w:id="14"/>
    </w:p>
    <w:p w14:paraId="0E2BC84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b/>
          <w:bCs/>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1.工程垃圾</w:t>
      </w:r>
    </w:p>
    <w:p w14:paraId="67F8FE76">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从2024年统计数据来看，预测清城区施工面积平均每年增加约5%，因此，本次以2024年为基期年，按照年增加5%预测清城区2024-2030年工程垃圾产生量（每年产生量详见附表2），则：</w:t>
      </w:r>
    </w:p>
    <w:p w14:paraId="344209CE">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规划2026年清城区工程垃圾年产生量约4.21万m³；</w:t>
      </w:r>
    </w:p>
    <w:p w14:paraId="614F69A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规划2030年清城区工程垃圾年产生量约5.12万m³。</w:t>
      </w:r>
    </w:p>
    <w:p w14:paraId="5A48C782">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b/>
          <w:bCs/>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2.拆除垃圾</w:t>
      </w:r>
    </w:p>
    <w:p w14:paraId="0066AA36">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从2024年统计数据来看，预测清城区竣工面积平均每年增加约4%，因此，本次以2024年为基期年，按照年增加4%预测清城区2024-2030年拆除垃圾产生量（每年产生量详见附表2），则：</w:t>
      </w:r>
    </w:p>
    <w:p w14:paraId="4117BBE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规划2026年清城区拆除垃圾年产生量约16.79万m³；</w:t>
      </w:r>
    </w:p>
    <w:p w14:paraId="6C42A950">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规划2030年清城区拆除垃圾年产生量约19.64万m³。</w:t>
      </w:r>
    </w:p>
    <w:p w14:paraId="1A06B696">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b/>
          <w:bCs/>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3.装修垃圾</w:t>
      </w:r>
    </w:p>
    <w:p w14:paraId="0909C69A">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从2024年统计数据来看，预测清城区装修总户数平均每年增加约1%，因此，本次以2024年为基期年，按照年增加1%预测清城区2024-2030年拆除垃圾产生量（每年产生量详见附表2），则：</w:t>
      </w:r>
    </w:p>
    <w:p w14:paraId="291AC8E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规划2026年清城区装修垃圾年产生量约19.62万m³；</w:t>
      </w:r>
    </w:p>
    <w:p w14:paraId="66753E2F">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规划2030年清城区装修垃圾年产生量约20.41万m³。</w:t>
      </w:r>
    </w:p>
    <w:p w14:paraId="76165D20">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4.工程渣土、工程泥浆</w:t>
      </w:r>
    </w:p>
    <w:p w14:paraId="1F665EDB">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从清城区建设项目水保全流程监管台账统计数据来看，清城区工程渣土、工程泥浆的增减无特定规律可循，以2024年为基期年，按照年增加1%预测清城区2024-2030年工程渣土、工程泥浆产生量（每年产生量详见表2），则：</w:t>
      </w:r>
    </w:p>
    <w:p w14:paraId="6ED25B41">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规划至2026年（按3年计），工程渣土总产量约为455.12万m³，工程泥浆总产生量约为6.67万m³（约为工程渣土产量的1.5%）；</w:t>
      </w:r>
    </w:p>
    <w:p w14:paraId="0A207365">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规划2027-2030年（按4年计），工程渣土总产量约为628.35万m³，工程泥浆总产生量约为9.20万m³（约为工程渣土产量的1.5%）；</w:t>
      </w:r>
    </w:p>
    <w:p w14:paraId="1C22FB54">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合计，规划2024-2030年（按7年计）工程渣土总产量约为1083.47万m³，工程泥浆总产生量约为15.87万m³。各类建筑垃圾产生量预测，如下：</w:t>
      </w:r>
    </w:p>
    <w:p w14:paraId="16F84FE7">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清城区建筑垃圾产生量预测表（单位：万m³）</w:t>
      </w:r>
    </w:p>
    <w:tbl>
      <w:tblPr>
        <w:tblStyle w:val="44"/>
        <w:tblW w:w="8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5"/>
        <w:gridCol w:w="1182"/>
        <w:gridCol w:w="1229"/>
        <w:gridCol w:w="1368"/>
        <w:gridCol w:w="1368"/>
        <w:gridCol w:w="1368"/>
        <w:gridCol w:w="1370"/>
      </w:tblGrid>
      <w:tr w14:paraId="5A119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2" w:hRule="atLeast"/>
        </w:trPr>
        <w:tc>
          <w:tcPr>
            <w:tcW w:w="97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554C1D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时间（年）</w:t>
            </w:r>
          </w:p>
        </w:tc>
        <w:tc>
          <w:tcPr>
            <w:tcW w:w="118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C0DAC1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建筑垃圾总量</w:t>
            </w:r>
          </w:p>
        </w:tc>
        <w:tc>
          <w:tcPr>
            <w:tcW w:w="122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CE08A5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工程渣土</w:t>
            </w:r>
          </w:p>
        </w:tc>
        <w:tc>
          <w:tcPr>
            <w:tcW w:w="136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CC83820">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工程泥浆</w:t>
            </w:r>
          </w:p>
        </w:tc>
        <w:tc>
          <w:tcPr>
            <w:tcW w:w="136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48A9C2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工程垃圾</w:t>
            </w:r>
          </w:p>
        </w:tc>
        <w:tc>
          <w:tcPr>
            <w:tcW w:w="136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B84721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拆除垃圾</w:t>
            </w:r>
          </w:p>
        </w:tc>
        <w:tc>
          <w:tcPr>
            <w:tcW w:w="137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398F21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装修垃圾</w:t>
            </w:r>
          </w:p>
        </w:tc>
      </w:tr>
      <w:tr w14:paraId="652C4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DF8D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2024</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B073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190.97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CF7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150.20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B58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2.20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B753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3.82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1FEA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15.52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DFDC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19.23 </w:t>
            </w:r>
          </w:p>
        </w:tc>
      </w:tr>
      <w:tr w14:paraId="0697B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3922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2025</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6C00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193.50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179F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151.70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50BA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2.22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B35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4.01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D9F3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16.14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5D15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19.42 </w:t>
            </w:r>
          </w:p>
        </w:tc>
      </w:tr>
      <w:tr w14:paraId="6A4CC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A71C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2026</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007B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196.08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A17D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153.22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1C1D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2.24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240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4.21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6068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16.79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35A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19.62 </w:t>
            </w:r>
          </w:p>
        </w:tc>
      </w:tr>
      <w:tr w14:paraId="7D5BC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2DE2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2027</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B21A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198.71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3E6B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154.75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AB35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2.27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D3B0">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4.42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326B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17.46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5971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19.81 </w:t>
            </w:r>
          </w:p>
        </w:tc>
      </w:tr>
      <w:tr w14:paraId="2F4F5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B23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2028</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E3A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201.40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06EC0">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156.30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82F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2.29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D567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4.64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72AB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18.16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DD08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20.01 </w:t>
            </w:r>
          </w:p>
        </w:tc>
      </w:tr>
      <w:tr w14:paraId="04D34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5B5F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2029</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1989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204.14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E90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157.86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482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2.31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C588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4.88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3CF0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18.88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CDDD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20.21 </w:t>
            </w:r>
          </w:p>
        </w:tc>
      </w:tr>
      <w:tr w14:paraId="01559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751D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2030</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C19C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206.95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D472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159.44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C4E1">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2.34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4662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5.12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2367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19.64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DE6C9">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20.41 </w:t>
            </w:r>
          </w:p>
        </w:tc>
      </w:tr>
      <w:tr w14:paraId="4A681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34A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bidi="ar"/>
              </w:rPr>
              <w:t>合计</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5FE3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1391.74 </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0DEA0">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1083.47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5AB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15.87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954E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31.10 </w:t>
            </w:r>
          </w:p>
        </w:tc>
        <w:tc>
          <w:tcPr>
            <w:tcW w:w="13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0FE4">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122.58 </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A2105">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2"/>
                <w:szCs w:val="22"/>
                <w:highlight w:val="none"/>
                <w:u w:val="none"/>
                <w:lang w:val="en-US" w:eastAsia="zh-CN" w:bidi="ar"/>
              </w:rPr>
            </w:pPr>
            <w:r>
              <w:rPr>
                <w:rFonts w:hint="eastAsia" w:ascii="仿宋" w:hAnsi="仿宋" w:eastAsia="仿宋" w:cs="仿宋"/>
                <w:i w:val="0"/>
                <w:iCs w:val="0"/>
                <w:color w:val="000000"/>
                <w:kern w:val="0"/>
                <w:sz w:val="22"/>
                <w:szCs w:val="22"/>
                <w:highlight w:val="none"/>
                <w:u w:val="none"/>
                <w:lang w:val="en-US" w:eastAsia="zh-CN" w:bidi="ar"/>
              </w:rPr>
              <w:t xml:space="preserve">138.72 </w:t>
            </w:r>
          </w:p>
        </w:tc>
      </w:tr>
    </w:tbl>
    <w:p w14:paraId="14036E39">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15" w:name="_Toc29136"/>
      <w:bookmarkStart w:id="16" w:name="_Toc25227"/>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处理量预测</w:t>
      </w:r>
      <w:bookmarkEnd w:id="15"/>
    </w:p>
    <w:p w14:paraId="395E3CA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b/>
          <w:bCs/>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1.装修垃圾分选量</w:t>
      </w:r>
    </w:p>
    <w:p w14:paraId="12CB9DE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预测清城区装修垃圾分选能力缺口为18.83万m³/年（收集率按95%计）。</w:t>
      </w:r>
    </w:p>
    <w:p w14:paraId="0151FCDC">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b/>
          <w:bCs/>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2.装修垃圾填埋量</w:t>
      </w:r>
    </w:p>
    <w:p w14:paraId="3F1B8AF6">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根据装修垃圾资源化处理工艺，装修垃圾填埋量约占装修垃圾分选量的9%。</w:t>
      </w:r>
    </w:p>
    <w:p w14:paraId="67463A70">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default"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按照装修垃圾分选量18.83万m³/年计算，预测清城区装修垃圾填埋量缺口为1.69万m³/年。则2024-2030年需填埋量为11.86万m³。</w:t>
      </w:r>
    </w:p>
    <w:p w14:paraId="3E530B63">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b/>
          <w:bCs/>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3.建筑垃圾资源化利用处理量</w:t>
      </w:r>
    </w:p>
    <w:p w14:paraId="1D37B3C6">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预测清城区建筑垃圾资源化利用需求量缺口为41.77万m³/年（（工程垃圾总量+拆除垃圾总量+装修垃圾总量）/规划总年份）。</w:t>
      </w:r>
    </w:p>
    <w:p w14:paraId="05FE12A1">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b/>
          <w:bCs/>
          <w:color w:val="auto"/>
          <w:spacing w:val="0"/>
          <w:kern w:val="2"/>
          <w:sz w:val="32"/>
          <w:szCs w:val="32"/>
          <w:highlight w:val="none"/>
          <w:lang w:val="en-US" w:eastAsia="zh-CN" w:bidi="ar-SA"/>
        </w:rPr>
      </w:pPr>
      <w:r>
        <w:rPr>
          <w:rFonts w:hint="eastAsia" w:ascii="仿宋" w:hAnsi="仿宋" w:eastAsia="仿宋" w:cs="仿宋"/>
          <w:b/>
          <w:bCs/>
          <w:color w:val="auto"/>
          <w:spacing w:val="0"/>
          <w:kern w:val="2"/>
          <w:sz w:val="32"/>
          <w:szCs w:val="32"/>
          <w:highlight w:val="none"/>
          <w:lang w:val="en-US" w:eastAsia="zh-CN" w:bidi="ar-SA"/>
        </w:rPr>
        <w:t>4.工程渣土和工程泥浆填埋场处理量</w:t>
      </w:r>
    </w:p>
    <w:p w14:paraId="3F165872">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预测至2026年清城区工程渣土及工程泥浆项目内可直接利用，平均利用75%，年需消纳量为38.48万m³/年。则2024-2026年需消纳量为115.45万m³。</w:t>
      </w:r>
    </w:p>
    <w:p w14:paraId="1D05D9AA">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预测2027-2030年清城区工程渣土及工程泥浆项目内可直接利用，平均利用90%，年需消纳量为15.94万m³/年。则2027-2030年需消纳量为63.76万m³。</w:t>
      </w:r>
    </w:p>
    <w:p w14:paraId="1D559444">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default"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综上统计，预计清城区2024-2030年消纳量（装修垃圾填埋量+工程渣土和工程泥浆填埋场消纳量）为191.06万m³；预计清城区2024-2030年建筑垃圾资源化利用处理量需求为41.77万m³/年（按资源化利用率60%计算，需求为25.06万m³/年，按资源化利用率80%计算，需求为33.42万m³/年）；预测清城区装修垃圾分选能力缺口为18.83万m³/年。</w:t>
      </w:r>
    </w:p>
    <w:p w14:paraId="227F3B6C">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17" w:name="_Toc20218"/>
      <w:r>
        <w:rPr>
          <w:rFonts w:hint="eastAsia" w:ascii="仿宋" w:hAnsi="仿宋" w:eastAsia="黑体" w:cs="仿宋"/>
          <w:b/>
          <w:bCs/>
          <w:color w:val="auto"/>
          <w:spacing w:val="0"/>
          <w:kern w:val="0"/>
          <w:sz w:val="32"/>
          <w:szCs w:val="32"/>
          <w:lang w:val="en-US" w:eastAsia="zh-CN" w:bidi="ar-SA"/>
        </w:rPr>
        <w:t>三、</w:t>
      </w:r>
      <w:r>
        <w:rPr>
          <w:rFonts w:hint="eastAsia" w:ascii="仿宋" w:hAnsi="仿宋" w:eastAsia="仿宋" w:cs="仿宋"/>
          <w:b/>
          <w:bCs/>
          <w:color w:val="auto"/>
          <w:spacing w:val="0"/>
          <w:highlight w:val="none"/>
          <w:lang w:val="en-US" w:eastAsia="zh-CN"/>
        </w:rPr>
        <w:t>总体思路</w:t>
      </w:r>
      <w:bookmarkEnd w:id="16"/>
      <w:bookmarkEnd w:id="17"/>
    </w:p>
    <w:p w14:paraId="1557E9A0">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18" w:name="_Toc14369"/>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指导思想</w:t>
      </w:r>
      <w:bookmarkEnd w:id="18"/>
    </w:p>
    <w:p w14:paraId="4EB4E77C">
      <w:pPr>
        <w:pStyle w:val="65"/>
        <w:keepNext w:val="0"/>
        <w:keepLines w:val="0"/>
        <w:pageBreakBefore w:val="0"/>
        <w:widowControl/>
        <w:kinsoku/>
        <w:wordWrap/>
        <w:overflowPunct w:val="0"/>
        <w:topLinePunct w:val="0"/>
        <w:autoSpaceDE/>
        <w:autoSpaceDN/>
        <w:bidi w:val="0"/>
        <w:adjustRightInd/>
        <w:snapToGrid/>
        <w:spacing w:line="600" w:lineRule="exact"/>
        <w:ind w:firstLine="624"/>
        <w:jc w:val="both"/>
        <w:textAlignment w:val="baseline"/>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以习近平新时代中国特色社会主义思想为指导，全面贯彻落实党的二十大精神，深入践行绿水青山就是金山银山的理念，以建筑垃圾减量化、资源化、无害化为导向，结合“无废城市”建设和“百县千镇万村高质量发展工程”实施，健全建筑垃圾污染环境防治工作机制，加强源头管控、运处规范、监管闭环，提高建筑垃圾处理减量化、资源化、无害化、数字化水平，建立“源头控制、就地利用、区域平衡、循环利用、安全消纳”的建筑垃圾治理体系，进一步促进城市建筑垃圾治理和再利用产业化发展，为清城区统筹推动城乡建设高质量发展提供有力支撑。</w:t>
      </w:r>
    </w:p>
    <w:p w14:paraId="3B6E4BE4">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19" w:name="_Toc6122"/>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思路与原则</w:t>
      </w:r>
      <w:bookmarkEnd w:id="19"/>
    </w:p>
    <w:p w14:paraId="7ECD4342">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1.全面调研，深入分析。</w:t>
      </w:r>
      <w:r>
        <w:rPr>
          <w:rFonts w:hint="eastAsia" w:ascii="仿宋" w:hAnsi="仿宋" w:eastAsia="仿宋" w:cs="仿宋"/>
          <w:b w:val="0"/>
          <w:bCs w:val="0"/>
          <w:color w:val="auto"/>
          <w:spacing w:val="0"/>
          <w:sz w:val="32"/>
          <w:szCs w:val="32"/>
          <w:highlight w:val="none"/>
          <w:lang w:val="en-US" w:eastAsia="zh-CN"/>
        </w:rPr>
        <w:t>充分开展实地调研，全面了解掌握建筑垃圾的类型、产生量、利用量和处置量情况以及建筑垃圾消纳场、资源化利用项目等的规模和布局情况，梳理产销平衡数据，分析建筑垃圾利用和处置存在的问题。</w:t>
      </w:r>
    </w:p>
    <w:p w14:paraId="60B4E41E">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2.目标导向，补齐短板。</w:t>
      </w:r>
      <w:r>
        <w:rPr>
          <w:rFonts w:hint="eastAsia" w:ascii="仿宋" w:hAnsi="仿宋" w:eastAsia="仿宋" w:cs="仿宋"/>
          <w:b w:val="0"/>
          <w:bCs w:val="0"/>
          <w:color w:val="auto"/>
          <w:spacing w:val="0"/>
          <w:sz w:val="32"/>
          <w:szCs w:val="32"/>
          <w:highlight w:val="none"/>
          <w:lang w:val="en-US" w:eastAsia="zh-CN"/>
        </w:rPr>
        <w:t>聚焦建筑垃圾源头减量、资源化利用和消纳兜底保障，以强化分类管理和全过程闭环管理、提升综合利用水平、促进资源化产业发展、防范建筑垃圾环境污染风险等方面为重点，加快补齐相关治理体系和基础设施短板</w:t>
      </w:r>
      <w:r>
        <w:rPr>
          <w:rFonts w:hint="eastAsia" w:ascii="仿宋" w:hAnsi="仿宋" w:eastAsia="仿宋" w:cs="仿宋"/>
          <w:color w:val="auto"/>
          <w:spacing w:val="0"/>
          <w:sz w:val="32"/>
          <w:szCs w:val="32"/>
          <w:highlight w:val="none"/>
          <w:lang w:val="en-US" w:eastAsia="zh-CN"/>
        </w:rPr>
        <w:t>。</w:t>
      </w:r>
    </w:p>
    <w:p w14:paraId="37531550">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3.因地制宜，科学规划。</w:t>
      </w:r>
      <w:r>
        <w:rPr>
          <w:rFonts w:hint="eastAsia" w:ascii="仿宋" w:hAnsi="仿宋" w:eastAsia="仿宋" w:cs="仿宋"/>
          <w:color w:val="auto"/>
          <w:spacing w:val="0"/>
          <w:sz w:val="32"/>
          <w:szCs w:val="32"/>
          <w:highlight w:val="none"/>
          <w:lang w:val="en-US" w:eastAsia="zh-CN"/>
        </w:rPr>
        <w:t>以立足当前需求，兼顾长远发展，充分考虑经济社会发展和生态环境状况，合理确定建筑垃圾转运调配、资源化利用、堆填、填埋等消纳处置设施、场所的建设目标和工程规模，确保所产生的建筑垃圾妥善利用和处置，达至产消平衡。</w:t>
      </w:r>
    </w:p>
    <w:p w14:paraId="3FDB6094">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4.全程谋划，推进分类。</w:t>
      </w:r>
      <w:r>
        <w:rPr>
          <w:rFonts w:hint="eastAsia" w:ascii="仿宋" w:hAnsi="仿宋" w:eastAsia="仿宋" w:cs="仿宋"/>
          <w:color w:val="auto"/>
          <w:spacing w:val="0"/>
          <w:sz w:val="32"/>
          <w:szCs w:val="32"/>
          <w:highlight w:val="none"/>
          <w:lang w:val="en-US" w:eastAsia="zh-CN"/>
        </w:rPr>
        <w:t>根据建筑垃圾分类利用情况，科学预测工程渣土、工程泥浆、拆除垃圾、装修垃圾、工程垃圾等各类建筑垃圾产生量，加强分类收集、分类运输、分类利用、分类处置等各环节的衔接，推进建筑垃圾精细化分类、分质利用和全过程管理，最大限度地减少堆填及填埋处置量。</w:t>
      </w:r>
    </w:p>
    <w:p w14:paraId="5CFA9741">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20" w:name="_Toc3907"/>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规划目标</w:t>
      </w:r>
      <w:bookmarkEnd w:id="20"/>
    </w:p>
    <w:p w14:paraId="22A52EEA">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1.总体目标</w:t>
      </w:r>
    </w:p>
    <w:p w14:paraId="6624778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逐步健全建筑垃圾全过程管理体制机制，有效解决高质量发展建设需求与建筑垃圾处置能力之间的矛盾，倒逼工程建设生产管理模式转变，减少工程全生命周期的建筑垃圾排放，推动建筑垃圾治理迈向规范化管理、资源化利用、智慧化监管轨道。</w:t>
      </w:r>
    </w:p>
    <w:p w14:paraId="474418BA">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2.指标体系</w:t>
      </w:r>
    </w:p>
    <w:p w14:paraId="57AD1700">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规划目标涉及近期、远期两个层次，共计8个规划指标，详见下表：</w:t>
      </w:r>
    </w:p>
    <w:p w14:paraId="71295C57">
      <w:pP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br w:type="page"/>
      </w:r>
    </w:p>
    <w:p w14:paraId="14BFC9FF">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清远市清城区建筑垃圾污染环境防治工作规划指标体系</w:t>
      </w:r>
    </w:p>
    <w:tbl>
      <w:tblPr>
        <w:tblStyle w:val="44"/>
        <w:tblW w:w="8716" w:type="dxa"/>
        <w:jc w:val="center"/>
        <w:tblLayout w:type="fixed"/>
        <w:tblCellMar>
          <w:top w:w="0" w:type="dxa"/>
          <w:left w:w="108" w:type="dxa"/>
          <w:bottom w:w="0" w:type="dxa"/>
          <w:right w:w="108" w:type="dxa"/>
        </w:tblCellMar>
      </w:tblPr>
      <w:tblGrid>
        <w:gridCol w:w="811"/>
        <w:gridCol w:w="3021"/>
        <w:gridCol w:w="1855"/>
        <w:gridCol w:w="1855"/>
        <w:gridCol w:w="1174"/>
      </w:tblGrid>
      <w:tr w14:paraId="5DD11223">
        <w:tblPrEx>
          <w:tblCellMar>
            <w:top w:w="0" w:type="dxa"/>
            <w:left w:w="108" w:type="dxa"/>
            <w:bottom w:w="0" w:type="dxa"/>
            <w:right w:w="108" w:type="dxa"/>
          </w:tblCellMar>
        </w:tblPrEx>
        <w:trPr>
          <w:trHeight w:val="742" w:hRule="atLeast"/>
          <w:tblHeader/>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544CE6C2">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序号</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1D29457C">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指标内容</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0DD40F28">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近期指标（2026年）</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3A22BDCD">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远期指标（2030年）</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4AB99A9B">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备注</w:t>
            </w:r>
          </w:p>
        </w:tc>
      </w:tr>
      <w:tr w14:paraId="6913BCAC">
        <w:tblPrEx>
          <w:tblCellMar>
            <w:top w:w="0" w:type="dxa"/>
            <w:left w:w="108" w:type="dxa"/>
            <w:bottom w:w="0" w:type="dxa"/>
            <w:right w:w="108" w:type="dxa"/>
          </w:tblCellMar>
        </w:tblPrEx>
        <w:trPr>
          <w:trHeight w:val="113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5AC2499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356FA410">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建筑垃圾安全处置率</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5B123C6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100%</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6317482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100%</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24173E6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约束性</w:t>
            </w:r>
          </w:p>
        </w:tc>
      </w:tr>
      <w:tr w14:paraId="02F0F806">
        <w:tblPrEx>
          <w:tblCellMar>
            <w:top w:w="0" w:type="dxa"/>
            <w:left w:w="108" w:type="dxa"/>
            <w:bottom w:w="0" w:type="dxa"/>
            <w:right w:w="108" w:type="dxa"/>
          </w:tblCellMar>
        </w:tblPrEx>
        <w:trPr>
          <w:trHeight w:val="113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55F1194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2</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013942AF">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建筑垃圾综合利用率</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2496B7E6">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65%</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38FA4FBD">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90%</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3DCFF0FF">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预期性</w:t>
            </w:r>
          </w:p>
        </w:tc>
      </w:tr>
      <w:tr w14:paraId="69C57D01">
        <w:tblPrEx>
          <w:tblCellMar>
            <w:top w:w="0" w:type="dxa"/>
            <w:left w:w="108" w:type="dxa"/>
            <w:bottom w:w="0" w:type="dxa"/>
            <w:right w:w="108" w:type="dxa"/>
          </w:tblCellMar>
        </w:tblPrEx>
        <w:trPr>
          <w:trHeight w:val="113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7F7298A6">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3</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43D3129F">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建筑垃圾资源化利用率</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28C749B2">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cs="仿宋"/>
                <w:color w:val="auto"/>
                <w:spacing w:val="0"/>
                <w:kern w:val="2"/>
                <w:sz w:val="28"/>
                <w:szCs w:val="28"/>
                <w:highlight w:val="none"/>
                <w:lang w:val="en-US" w:eastAsia="zh-CN" w:bidi="ar-SA"/>
              </w:rPr>
              <w:t>60</w:t>
            </w:r>
            <w:r>
              <w:rPr>
                <w:rFonts w:hint="eastAsia" w:ascii="仿宋" w:hAnsi="仿宋" w:eastAsia="仿宋" w:cs="仿宋"/>
                <w:color w:val="auto"/>
                <w:spacing w:val="0"/>
                <w:kern w:val="2"/>
                <w:sz w:val="28"/>
                <w:szCs w:val="28"/>
                <w:highlight w:val="none"/>
                <w:lang w:val="en-US" w:eastAsia="zh-CN" w:bidi="ar-SA"/>
              </w:rPr>
              <w:t>%</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241BC5D8">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cs="仿宋"/>
                <w:color w:val="auto"/>
                <w:spacing w:val="0"/>
                <w:kern w:val="2"/>
                <w:sz w:val="28"/>
                <w:szCs w:val="28"/>
                <w:highlight w:val="none"/>
                <w:lang w:val="en-US" w:eastAsia="zh-CN" w:bidi="ar-SA"/>
              </w:rPr>
              <w:t>8</w:t>
            </w:r>
            <w:r>
              <w:rPr>
                <w:rFonts w:hint="eastAsia" w:ascii="仿宋" w:hAnsi="仿宋" w:eastAsia="仿宋" w:cs="仿宋"/>
                <w:color w:val="auto"/>
                <w:spacing w:val="0"/>
                <w:kern w:val="2"/>
                <w:sz w:val="28"/>
                <w:szCs w:val="28"/>
                <w:highlight w:val="none"/>
                <w:lang w:val="en-US" w:eastAsia="zh-CN" w:bidi="ar-SA"/>
              </w:rPr>
              <w:t>0%</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AA620D3">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预期性</w:t>
            </w:r>
          </w:p>
        </w:tc>
      </w:tr>
      <w:tr w14:paraId="6CE9E5D0">
        <w:tblPrEx>
          <w:tblCellMar>
            <w:top w:w="0" w:type="dxa"/>
            <w:left w:w="108" w:type="dxa"/>
            <w:bottom w:w="0" w:type="dxa"/>
            <w:right w:w="108" w:type="dxa"/>
          </w:tblCellMar>
        </w:tblPrEx>
        <w:trPr>
          <w:trHeight w:val="113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4558821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4</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1BD6D567">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建筑垃圾在线监管率</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2E110C1C">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80%</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4C3A105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95%</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906FED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预期性</w:t>
            </w:r>
          </w:p>
        </w:tc>
      </w:tr>
      <w:tr w14:paraId="415040AC">
        <w:tblPrEx>
          <w:tblCellMar>
            <w:top w:w="0" w:type="dxa"/>
            <w:left w:w="108" w:type="dxa"/>
            <w:bottom w:w="0" w:type="dxa"/>
            <w:right w:w="108" w:type="dxa"/>
          </w:tblCellMar>
        </w:tblPrEx>
        <w:trPr>
          <w:trHeight w:val="113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272982E7">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5</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2DA46C2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建筑垃圾密闭化运输率</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5291D69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100%</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4228A6D6">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100%</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6ED13936">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预期性</w:t>
            </w:r>
          </w:p>
        </w:tc>
      </w:tr>
      <w:tr w14:paraId="13C87149">
        <w:tblPrEx>
          <w:tblCellMar>
            <w:top w:w="0" w:type="dxa"/>
            <w:left w:w="108" w:type="dxa"/>
            <w:bottom w:w="0" w:type="dxa"/>
            <w:right w:w="108" w:type="dxa"/>
          </w:tblCellMar>
        </w:tblPrEx>
        <w:trPr>
          <w:trHeight w:val="113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26668B0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6</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6D444E9E">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新建建筑施工现场建筑垃圾排放量（不包括  工程渣土、 工程泥浆）</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45775EAF">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≤300</w:t>
            </w:r>
          </w:p>
          <w:p w14:paraId="716C0550">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吨/万平方米</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3455FF6D">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≤260</w:t>
            </w:r>
          </w:p>
          <w:p w14:paraId="747A0295">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吨/万平方米</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7DFE6F12">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预期性</w:t>
            </w:r>
          </w:p>
        </w:tc>
      </w:tr>
      <w:tr w14:paraId="4DAEE38D">
        <w:tblPrEx>
          <w:tblCellMar>
            <w:top w:w="0" w:type="dxa"/>
            <w:left w:w="108" w:type="dxa"/>
            <w:bottom w:w="0" w:type="dxa"/>
            <w:right w:w="108" w:type="dxa"/>
          </w:tblCellMar>
        </w:tblPrEx>
        <w:trPr>
          <w:trHeight w:val="113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3A7C832D">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7</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7BF609CA">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装配式建筑施工现场建筑垃圾排放量（不包括工程渣土、 工程泥浆）</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177AC2F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≤200</w:t>
            </w:r>
          </w:p>
          <w:p w14:paraId="0793E407">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吨/万平方米</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4B6CF033">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≤180</w:t>
            </w:r>
          </w:p>
          <w:p w14:paraId="594B1EAD">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吨/万平方米</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1936EE76">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预期性</w:t>
            </w:r>
          </w:p>
        </w:tc>
      </w:tr>
      <w:tr w14:paraId="68257F0A">
        <w:tblPrEx>
          <w:tblCellMar>
            <w:top w:w="0" w:type="dxa"/>
            <w:left w:w="108" w:type="dxa"/>
            <w:bottom w:w="0" w:type="dxa"/>
            <w:right w:w="108" w:type="dxa"/>
          </w:tblCellMar>
        </w:tblPrEx>
        <w:trPr>
          <w:trHeight w:val="1142" w:hRule="atLeast"/>
          <w:jc w:val="center"/>
        </w:trPr>
        <w:tc>
          <w:tcPr>
            <w:tcW w:w="811" w:type="dxa"/>
            <w:tcBorders>
              <w:top w:val="single" w:color="000000" w:sz="4" w:space="0"/>
              <w:left w:val="single" w:color="000000" w:sz="4" w:space="0"/>
              <w:bottom w:val="single" w:color="000000" w:sz="4" w:space="0"/>
              <w:right w:val="single" w:color="000000" w:sz="4" w:space="0"/>
            </w:tcBorders>
            <w:noWrap/>
            <w:vAlign w:val="center"/>
          </w:tcPr>
          <w:p w14:paraId="3AE0698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bookmarkStart w:id="21" w:name="_Toc8854"/>
            <w:r>
              <w:rPr>
                <w:rFonts w:hint="eastAsia" w:ascii="仿宋" w:hAnsi="仿宋" w:eastAsia="仿宋" w:cs="仿宋"/>
                <w:color w:val="auto"/>
                <w:spacing w:val="0"/>
                <w:kern w:val="2"/>
                <w:sz w:val="28"/>
                <w:szCs w:val="28"/>
                <w:highlight w:val="none"/>
                <w:lang w:val="en-US" w:eastAsia="zh-CN" w:bidi="ar-SA"/>
              </w:rPr>
              <w:t>8</w:t>
            </w:r>
          </w:p>
        </w:tc>
        <w:tc>
          <w:tcPr>
            <w:tcW w:w="3021" w:type="dxa"/>
            <w:tcBorders>
              <w:top w:val="single" w:color="000000" w:sz="4" w:space="0"/>
              <w:left w:val="single" w:color="000000" w:sz="4" w:space="0"/>
              <w:bottom w:val="single" w:color="000000" w:sz="4" w:space="0"/>
              <w:right w:val="single" w:color="000000" w:sz="4" w:space="0"/>
            </w:tcBorders>
            <w:noWrap/>
            <w:vAlign w:val="center"/>
          </w:tcPr>
          <w:p w14:paraId="55FBB817">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建筑垃圾运输车辆行驶及装卸记录仪安装率</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179CB8A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100%</w:t>
            </w:r>
          </w:p>
        </w:tc>
        <w:tc>
          <w:tcPr>
            <w:tcW w:w="1855" w:type="dxa"/>
            <w:tcBorders>
              <w:top w:val="single" w:color="000000" w:sz="4" w:space="0"/>
              <w:left w:val="single" w:color="000000" w:sz="4" w:space="0"/>
              <w:bottom w:val="single" w:color="000000" w:sz="4" w:space="0"/>
              <w:right w:val="single" w:color="000000" w:sz="4" w:space="0"/>
            </w:tcBorders>
            <w:noWrap/>
            <w:vAlign w:val="center"/>
          </w:tcPr>
          <w:p w14:paraId="4C4DD4B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100%</w:t>
            </w:r>
          </w:p>
        </w:tc>
        <w:tc>
          <w:tcPr>
            <w:tcW w:w="1174" w:type="dxa"/>
            <w:tcBorders>
              <w:top w:val="single" w:color="000000" w:sz="4" w:space="0"/>
              <w:left w:val="single" w:color="000000" w:sz="4" w:space="0"/>
              <w:bottom w:val="single" w:color="000000" w:sz="4" w:space="0"/>
              <w:right w:val="single" w:color="000000" w:sz="4" w:space="0"/>
            </w:tcBorders>
            <w:noWrap/>
            <w:vAlign w:val="center"/>
          </w:tcPr>
          <w:p w14:paraId="0FFB8A43">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预期性</w:t>
            </w:r>
          </w:p>
        </w:tc>
      </w:tr>
    </w:tbl>
    <w:p w14:paraId="2FFB1FAA">
      <w:pPr>
        <w:keepNext w:val="0"/>
        <w:keepLines w:val="0"/>
        <w:pageBreakBefore w:val="0"/>
        <w:widowControl/>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注：</w:t>
      </w:r>
    </w:p>
    <w:p w14:paraId="0B2CB8BC">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（1）建筑垃圾安全处置率</w:t>
      </w:r>
    </w:p>
    <w:p w14:paraId="13533126">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b w:val="0"/>
          <w:bCs w:val="0"/>
          <w:color w:val="auto"/>
          <w:spacing w:val="0"/>
          <w:sz w:val="28"/>
          <w:szCs w:val="28"/>
          <w:highlight w:val="none"/>
          <w:lang w:val="en-US" w:eastAsia="zh-CN"/>
        </w:rPr>
        <w:t>本指标指不存在安全隐患且不发生安全事故的处理设施占所有处理设施的比例。</w:t>
      </w:r>
    </w:p>
    <w:p w14:paraId="2BB7D833">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b w:val="0"/>
          <w:bCs w:val="0"/>
          <w:color w:val="auto"/>
          <w:spacing w:val="0"/>
          <w:sz w:val="28"/>
          <w:szCs w:val="28"/>
          <w:highlight w:val="none"/>
          <w:lang w:val="en-US" w:eastAsia="zh-CN"/>
        </w:rPr>
        <w:t>建筑垃圾安全处置率=不存在安全隐患且不发生安全事故的处理设施数量÷处理设施总数量。</w:t>
      </w:r>
    </w:p>
    <w:p w14:paraId="0C9C6276">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（2）建筑垃圾综合利用率</w:t>
      </w:r>
    </w:p>
    <w:p w14:paraId="40BAD05E">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color w:val="auto"/>
          <w:spacing w:val="0"/>
          <w:sz w:val="28"/>
          <w:szCs w:val="28"/>
          <w:highlight w:val="none"/>
          <w:lang w:val="en-US" w:eastAsia="zh-CN"/>
        </w:rPr>
        <w:t>建筑垃圾通过工程回填、土地平整、资源化利用、堆山造景、修基筑路等方式处置汇总的利用量，占建筑垃圾总排放产生量的百分比。</w:t>
      </w:r>
    </w:p>
    <w:p w14:paraId="164704EC">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b w:val="0"/>
          <w:bCs w:val="0"/>
          <w:color w:val="auto"/>
          <w:spacing w:val="0"/>
          <w:sz w:val="28"/>
          <w:szCs w:val="28"/>
          <w:highlight w:val="none"/>
          <w:lang w:val="en-US" w:eastAsia="zh-CN"/>
        </w:rPr>
        <w:t>建筑垃圾综合利用率=工程回填、土地平整、资源化利用、堆山造景、修基筑路等方式处置汇总的利用量÷建筑垃圾总排放产生量。</w:t>
      </w:r>
    </w:p>
    <w:p w14:paraId="664C8749">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（3）建筑垃圾资源化利用率</w:t>
      </w:r>
    </w:p>
    <w:p w14:paraId="7C66C13B">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color w:val="auto"/>
          <w:spacing w:val="0"/>
          <w:sz w:val="28"/>
          <w:szCs w:val="28"/>
          <w:highlight w:val="none"/>
          <w:lang w:val="en-US" w:eastAsia="zh-CN"/>
        </w:rPr>
        <w:t>建筑垃圾中工程垃圾、装修垃圾和拆除垃圾的资源化利用量，占这三类建筑垃圾产生总量的百分比。资源化利用指通过资源化利用项目或移动式资源化利用设施设备，将建筑垃圾转化为有用的物质。</w:t>
      </w:r>
    </w:p>
    <w:p w14:paraId="7D06393E">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b w:val="0"/>
          <w:bCs w:val="0"/>
          <w:color w:val="auto"/>
          <w:spacing w:val="0"/>
          <w:sz w:val="28"/>
          <w:szCs w:val="28"/>
          <w:highlight w:val="none"/>
          <w:lang w:val="en-US" w:eastAsia="zh-CN"/>
        </w:rPr>
        <w:t>建筑垃圾资源化利用率=(工程垃圾+装修垃圾+拆除垃圾）资源化利用量÷建筑垃圾中工程垃圾、装修垃圾、拆除垃圾排放产生量(不含工程渣土、工程泥浆）。</w:t>
      </w:r>
    </w:p>
    <w:p w14:paraId="33D79231">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（4）建筑垃圾在线监管率</w:t>
      </w:r>
    </w:p>
    <w:p w14:paraId="33E9654C">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b w:val="0"/>
          <w:bCs w:val="0"/>
          <w:color w:val="auto"/>
          <w:spacing w:val="0"/>
          <w:sz w:val="28"/>
          <w:szCs w:val="28"/>
          <w:highlight w:val="none"/>
          <w:lang w:val="en-US" w:eastAsia="zh-CN"/>
        </w:rPr>
        <w:t>实现建筑垃圾“产、运、消、利”全流程在线监控的比例</w:t>
      </w:r>
      <w:r>
        <w:rPr>
          <w:rFonts w:hint="eastAsia" w:ascii="仿宋" w:hAnsi="仿宋" w:eastAsia="仿宋" w:cs="仿宋"/>
          <w:color w:val="auto"/>
          <w:spacing w:val="0"/>
          <w:sz w:val="28"/>
          <w:szCs w:val="28"/>
          <w:highlight w:val="none"/>
          <w:lang w:val="en-US" w:eastAsia="zh-CN"/>
        </w:rPr>
        <w:t>。</w:t>
      </w:r>
    </w:p>
    <w:p w14:paraId="7A987168">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b w:val="0"/>
          <w:bCs w:val="0"/>
          <w:color w:val="auto"/>
          <w:spacing w:val="0"/>
          <w:sz w:val="28"/>
          <w:szCs w:val="28"/>
          <w:highlight w:val="none"/>
          <w:lang w:val="en-US" w:eastAsia="zh-CN"/>
        </w:rPr>
        <w:t>建筑垃圾在线监管率=实现全流程在线监控的建筑垃圾量÷领取建筑垃圾处置核准手续的建筑垃圾总量×100%。</w:t>
      </w:r>
    </w:p>
    <w:p w14:paraId="17049651">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（5）建筑垃圾密闭化运输率</w:t>
      </w:r>
    </w:p>
    <w:p w14:paraId="54ACBDAC">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b w:val="0"/>
          <w:bCs w:val="0"/>
          <w:color w:val="auto"/>
          <w:spacing w:val="0"/>
          <w:sz w:val="28"/>
          <w:szCs w:val="28"/>
          <w:highlight w:val="none"/>
          <w:lang w:val="en-US" w:eastAsia="zh-CN"/>
        </w:rPr>
        <w:t>使用保持密闭化的建筑垃圾运输车辆和船舶收运且规范处置建筑垃圾总量与建筑垃圾申报处置核准总量的比率。建筑垃圾收运总量基于建筑垃圾电子转移联单来计算。收运建筑垃圾总量及申报处置核准总量范围均为统计周期内完成处置的项目</w:t>
      </w:r>
      <w:r>
        <w:rPr>
          <w:rFonts w:hint="eastAsia" w:ascii="仿宋" w:hAnsi="仿宋" w:eastAsia="仿宋" w:cs="仿宋"/>
          <w:color w:val="auto"/>
          <w:spacing w:val="0"/>
          <w:sz w:val="28"/>
          <w:szCs w:val="28"/>
          <w:highlight w:val="none"/>
          <w:lang w:val="en-US" w:eastAsia="zh-CN"/>
        </w:rPr>
        <w:t>。</w:t>
      </w:r>
    </w:p>
    <w:p w14:paraId="713C5270">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b w:val="0"/>
          <w:bCs w:val="0"/>
          <w:color w:val="auto"/>
          <w:spacing w:val="0"/>
          <w:sz w:val="28"/>
          <w:szCs w:val="28"/>
          <w:highlight w:val="none"/>
          <w:lang w:val="en-US" w:eastAsia="zh-CN"/>
        </w:rPr>
        <w:t>建筑垃圾密闭化收运率（%）=使用保持密闭化的合法建筑垃圾运输车辆和船舶收运且规范处置的建筑垃圾总量÷领取建筑垃圾处置核准手续的建筑垃圾总量×100%。</w:t>
      </w:r>
    </w:p>
    <w:p w14:paraId="3A4A492A">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（6）新建建筑施工现场建筑垃圾排放量</w:t>
      </w:r>
    </w:p>
    <w:p w14:paraId="6FCDAD1D">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color w:val="auto"/>
          <w:spacing w:val="0"/>
          <w:sz w:val="28"/>
          <w:szCs w:val="28"/>
          <w:highlight w:val="none"/>
          <w:lang w:val="en-US" w:eastAsia="zh-CN"/>
        </w:rPr>
        <w:t>新建建筑施工现场建筑垃圾（不包括工程渣土、工程泥浆）排放量与施工现场面积的比值。</w:t>
      </w:r>
    </w:p>
    <w:p w14:paraId="6372F432">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color w:val="auto"/>
          <w:spacing w:val="0"/>
          <w:sz w:val="28"/>
          <w:szCs w:val="28"/>
          <w:highlight w:val="none"/>
          <w:lang w:val="en-US" w:eastAsia="zh-CN"/>
        </w:rPr>
        <w:t>新建建筑施工现场建筑垃圾排放量（不包括工程渣土、工程泥浆）（吨/万平方米）=新建建筑施工现场建筑垃圾（不包括工程渣土、工程泥浆）排放量（吨）÷施工现场面积（万平方米）。</w:t>
      </w:r>
    </w:p>
    <w:p w14:paraId="58ECC406">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（7）装配式建筑施工现场建筑垃圾排放量</w:t>
      </w:r>
    </w:p>
    <w:p w14:paraId="6EB56EE5">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color w:val="auto"/>
          <w:spacing w:val="0"/>
          <w:sz w:val="28"/>
          <w:szCs w:val="28"/>
          <w:highlight w:val="none"/>
          <w:lang w:val="en-US" w:eastAsia="zh-CN"/>
        </w:rPr>
        <w:t>装配式建筑施工现场建筑垃圾（不包括工程渣土、工程泥浆）排放量与施工现场面积的比值。</w:t>
      </w:r>
    </w:p>
    <w:p w14:paraId="345A4271">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color w:val="auto"/>
          <w:spacing w:val="0"/>
          <w:sz w:val="28"/>
          <w:szCs w:val="28"/>
          <w:highlight w:val="none"/>
          <w:lang w:val="en-US" w:eastAsia="zh-CN"/>
        </w:rPr>
        <w:t>装配式建筑施工现场建筑垃圾排放量（不包括工程渣土、工程泥浆）（吨/万平方米）=装配式建筑施工现场建筑垃圾（不包括工程渣土、工程泥浆）排放量（吨）÷施工现场面积（万平方米）。</w:t>
      </w:r>
    </w:p>
    <w:p w14:paraId="6C14F6B4">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bCs/>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（8）建筑垃圾运输车辆行驶及装卸记录仪安装率</w:t>
      </w:r>
    </w:p>
    <w:p w14:paraId="69241302">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1 指标解析：</w:t>
      </w:r>
      <w:r>
        <w:rPr>
          <w:rFonts w:hint="eastAsia" w:ascii="仿宋" w:hAnsi="仿宋" w:eastAsia="仿宋" w:cs="仿宋"/>
          <w:b w:val="0"/>
          <w:bCs w:val="0"/>
          <w:color w:val="auto"/>
          <w:spacing w:val="0"/>
          <w:sz w:val="28"/>
          <w:szCs w:val="28"/>
          <w:highlight w:val="none"/>
          <w:lang w:val="en-US" w:eastAsia="zh-CN"/>
        </w:rPr>
        <w:t>安装行驶及装卸记录仪的建筑垃圾运输车辆占全部建筑垃圾运输车辆的比例</w:t>
      </w:r>
      <w:r>
        <w:rPr>
          <w:rFonts w:hint="eastAsia" w:ascii="仿宋" w:hAnsi="仿宋" w:eastAsia="仿宋" w:cs="仿宋"/>
          <w:color w:val="auto"/>
          <w:spacing w:val="0"/>
          <w:sz w:val="28"/>
          <w:szCs w:val="28"/>
          <w:highlight w:val="none"/>
          <w:lang w:val="en-US" w:eastAsia="zh-CN"/>
        </w:rPr>
        <w:t>。</w:t>
      </w:r>
    </w:p>
    <w:p w14:paraId="6399C873">
      <w:pPr>
        <w:keepNext w:val="0"/>
        <w:keepLines w:val="0"/>
        <w:pageBreakBefore w:val="0"/>
        <w:widowControl/>
        <w:kinsoku/>
        <w:wordWrap/>
        <w:overflowPunct w:val="0"/>
        <w:topLinePunct w:val="0"/>
        <w:autoSpaceDE/>
        <w:autoSpaceDN/>
        <w:bidi w:val="0"/>
        <w:adjustRightInd/>
        <w:snapToGrid/>
        <w:spacing w:line="600" w:lineRule="exact"/>
        <w:ind w:firstLine="562" w:firstLineChars="200"/>
        <w:jc w:val="both"/>
        <w:textAlignment w:val="auto"/>
        <w:rPr>
          <w:rFonts w:hint="eastAsia" w:ascii="仿宋" w:hAnsi="仿宋" w:eastAsia="仿宋" w:cs="仿宋"/>
          <w:b w:val="0"/>
          <w:bCs w:val="0"/>
          <w:color w:val="auto"/>
          <w:spacing w:val="0"/>
          <w:sz w:val="28"/>
          <w:szCs w:val="28"/>
          <w:highlight w:val="none"/>
          <w:lang w:val="en-US" w:eastAsia="zh-CN"/>
        </w:rPr>
      </w:pPr>
      <w:r>
        <w:rPr>
          <w:rFonts w:hint="eastAsia" w:ascii="仿宋" w:hAnsi="仿宋" w:eastAsia="仿宋" w:cs="仿宋"/>
          <w:b/>
          <w:bCs/>
          <w:color w:val="auto"/>
          <w:spacing w:val="0"/>
          <w:sz w:val="28"/>
          <w:szCs w:val="28"/>
          <w:highlight w:val="none"/>
          <w:lang w:val="en-US" w:eastAsia="zh-CN"/>
        </w:rPr>
        <w:t>2 计算方法：</w:t>
      </w:r>
      <w:r>
        <w:rPr>
          <w:rFonts w:hint="eastAsia" w:ascii="仿宋" w:hAnsi="仿宋" w:eastAsia="仿宋" w:cs="仿宋"/>
          <w:b w:val="0"/>
          <w:bCs w:val="0"/>
          <w:color w:val="auto"/>
          <w:spacing w:val="0"/>
          <w:sz w:val="28"/>
          <w:szCs w:val="28"/>
          <w:highlight w:val="none"/>
          <w:lang w:val="en-US" w:eastAsia="zh-CN"/>
        </w:rPr>
        <w:t>建筑垃圾运输车辆行驶及装卸记录仪安装率=安装行驶及装卸记录仪的建筑垃圾运输车数量÷全部建筑垃圾运输车数量×100%。</w:t>
      </w:r>
    </w:p>
    <w:p w14:paraId="1C832430">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22" w:name="_Toc27602"/>
      <w:r>
        <w:rPr>
          <w:rFonts w:hint="eastAsia" w:ascii="仿宋" w:hAnsi="仿宋" w:eastAsia="黑体" w:cs="仿宋"/>
          <w:b/>
          <w:bCs/>
          <w:color w:val="auto"/>
          <w:spacing w:val="0"/>
          <w:kern w:val="0"/>
          <w:sz w:val="32"/>
          <w:szCs w:val="32"/>
          <w:lang w:val="en-US" w:eastAsia="zh-CN" w:bidi="ar-SA"/>
        </w:rPr>
        <w:t>四、</w:t>
      </w:r>
      <w:r>
        <w:rPr>
          <w:rFonts w:hint="eastAsia" w:ascii="仿宋" w:hAnsi="仿宋" w:eastAsia="仿宋" w:cs="仿宋"/>
          <w:b/>
          <w:bCs/>
          <w:color w:val="auto"/>
          <w:spacing w:val="0"/>
          <w:sz w:val="32"/>
          <w:szCs w:val="32"/>
          <w:highlight w:val="none"/>
          <w:lang w:val="en-US" w:eastAsia="zh-CN"/>
        </w:rPr>
        <w:t>全流程污染防治监督管理规划</w:t>
      </w:r>
      <w:bookmarkEnd w:id="21"/>
      <w:bookmarkEnd w:id="22"/>
    </w:p>
    <w:p w14:paraId="605834D0">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23" w:name="_Toc14918"/>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管理制度机制建设</w:t>
      </w:r>
      <w:bookmarkEnd w:id="23"/>
    </w:p>
    <w:p w14:paraId="772536A6">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1.建筑垃圾主管部门：</w:t>
      </w:r>
      <w:r>
        <w:rPr>
          <w:rFonts w:hint="eastAsia" w:ascii="仿宋" w:hAnsi="仿宋" w:eastAsia="仿宋" w:cs="仿宋"/>
          <w:color w:val="auto"/>
          <w:spacing w:val="0"/>
          <w:kern w:val="2"/>
          <w:sz w:val="32"/>
          <w:szCs w:val="32"/>
          <w:highlight w:val="none"/>
          <w:lang w:val="en-US" w:eastAsia="zh-CN" w:bidi="ar-SA"/>
        </w:rPr>
        <w:t>根据</w:t>
      </w:r>
      <w:r>
        <w:rPr>
          <w:rFonts w:hint="eastAsia" w:ascii="仿宋" w:hAnsi="仿宋" w:eastAsia="仿宋" w:cs="仿宋"/>
          <w:color w:val="auto"/>
          <w:spacing w:val="0"/>
          <w:sz w:val="32"/>
          <w:szCs w:val="32"/>
          <w:highlight w:val="none"/>
          <w:lang w:eastAsia="zh-CN"/>
        </w:rPr>
        <w:t>《城市建筑垃圾管理规定》《广东省建筑垃圾管理条例》《清远市市区建筑垃圾管理办法》，并按照我市有关文件精神</w:t>
      </w:r>
      <w:r>
        <w:rPr>
          <w:rFonts w:hint="eastAsia" w:ascii="仿宋" w:hAnsi="仿宋" w:eastAsia="仿宋" w:cs="仿宋"/>
          <w:color w:val="auto"/>
          <w:spacing w:val="0"/>
          <w:kern w:val="2"/>
          <w:sz w:val="32"/>
          <w:szCs w:val="32"/>
          <w:highlight w:val="none"/>
          <w:lang w:val="en-US" w:eastAsia="zh-CN" w:bidi="ar-SA"/>
        </w:rPr>
        <w:t>，清远市清城区建筑垃圾处置主管部门为清远市清城区城市管理和综合执法局</w:t>
      </w:r>
      <w:r>
        <w:rPr>
          <w:rFonts w:hint="eastAsia" w:ascii="仿宋" w:hAnsi="仿宋" w:eastAsia="仿宋" w:cs="仿宋"/>
          <w:color w:val="auto"/>
          <w:spacing w:val="0"/>
          <w:sz w:val="32"/>
          <w:szCs w:val="32"/>
          <w:highlight w:val="none"/>
          <w:lang w:val="en-US" w:eastAsia="zh-CN"/>
        </w:rPr>
        <w:t>。</w:t>
      </w:r>
    </w:p>
    <w:p w14:paraId="078443CB">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2.建筑垃圾地方管理法规规章：</w:t>
      </w:r>
      <w:r>
        <w:rPr>
          <w:rFonts w:hint="eastAsia" w:ascii="仿宋" w:hAnsi="仿宋" w:eastAsia="仿宋" w:cs="仿宋"/>
          <w:color w:val="auto"/>
          <w:spacing w:val="0"/>
          <w:sz w:val="32"/>
          <w:szCs w:val="32"/>
          <w:highlight w:val="none"/>
          <w:lang w:val="en-US" w:eastAsia="zh-CN"/>
        </w:rPr>
        <w:t>2020年12月，印发《清远市市区建筑垃圾管理办法》；并于2023年8月，经八届第 24 次市政府常务会议审议通过，进行了《清远市市区建筑垃圾管理办法》的调整</w:t>
      </w:r>
      <w:r>
        <w:rPr>
          <w:rFonts w:hint="eastAsia" w:ascii="仿宋" w:hAnsi="仿宋" w:cs="仿宋"/>
          <w:color w:val="auto"/>
          <w:spacing w:val="0"/>
          <w:sz w:val="32"/>
          <w:szCs w:val="32"/>
          <w:highlight w:val="none"/>
          <w:lang w:val="en-US" w:eastAsia="zh-CN"/>
        </w:rPr>
        <w:t>，2024年12月印发《清远市城乡建筑垃圾管理条例》</w:t>
      </w:r>
      <w:r>
        <w:rPr>
          <w:rFonts w:hint="eastAsia" w:ascii="仿宋" w:hAnsi="仿宋" w:eastAsia="仿宋" w:cs="仿宋"/>
          <w:color w:val="auto"/>
          <w:spacing w:val="0"/>
          <w:sz w:val="32"/>
          <w:szCs w:val="32"/>
          <w:highlight w:val="none"/>
          <w:lang w:val="en-US" w:eastAsia="zh-CN"/>
        </w:rPr>
        <w:t>。</w:t>
      </w:r>
    </w:p>
    <w:p w14:paraId="39CB824F">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3.建筑垃圾相关的地方文件及标准：</w:t>
      </w:r>
      <w:r>
        <w:rPr>
          <w:rFonts w:hint="eastAsia" w:ascii="仿宋" w:hAnsi="仿宋" w:eastAsia="仿宋" w:cs="仿宋"/>
          <w:color w:val="auto"/>
          <w:spacing w:val="0"/>
          <w:sz w:val="32"/>
          <w:szCs w:val="32"/>
          <w:highlight w:val="none"/>
          <w:lang w:val="en-US" w:eastAsia="zh-CN"/>
        </w:rPr>
        <w:t>（1）2020年6月，印发《关于严格规范市区建筑垃圾和散装物料运输秩序的通告》；（2）2020年10月，印发《清远市人民政府办公室关于成立市区建筑垃圾综合治理工作领导小组的通知》；（3）2020年11月，印发《清远市区建筑垃圾临时消纳场设置规范》；（4）2020年12月，印发《清远市建筑垃圾“一案三查”监管制度》；（5）2021年7月，印发《关于进一步加强各县市建筑垃圾运输管理工作的通知》；（6）2021年7月，印发《清远市建筑垃圾运输企业监管考核办法（试行）》；（</w:t>
      </w:r>
      <w:r>
        <w:rPr>
          <w:rFonts w:hint="eastAsia" w:ascii="仿宋" w:hAnsi="仿宋" w:cs="仿宋"/>
          <w:color w:val="auto"/>
          <w:spacing w:val="0"/>
          <w:sz w:val="32"/>
          <w:szCs w:val="32"/>
          <w:highlight w:val="none"/>
          <w:lang w:val="en-US" w:eastAsia="zh-CN"/>
        </w:rPr>
        <w:t>7</w:t>
      </w:r>
      <w:r>
        <w:rPr>
          <w:rFonts w:hint="eastAsia" w:ascii="仿宋" w:hAnsi="仿宋" w:eastAsia="仿宋" w:cs="仿宋"/>
          <w:color w:val="auto"/>
          <w:spacing w:val="0"/>
          <w:sz w:val="32"/>
          <w:szCs w:val="32"/>
          <w:highlight w:val="none"/>
          <w:lang w:val="en-US" w:eastAsia="zh-CN"/>
        </w:rPr>
        <w:t>）2022年12月，印发《清远市人民政府办公室关于调整市区建筑垃圾综合治理工作领导小组成员的通知》。</w:t>
      </w:r>
    </w:p>
    <w:p w14:paraId="4C252E4E">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24" w:name="_Toc24246"/>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部门职责分工</w:t>
      </w:r>
      <w:bookmarkEnd w:id="24"/>
    </w:p>
    <w:p w14:paraId="39A7C3AB">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1.总体职责分工</w:t>
      </w:r>
    </w:p>
    <w:p w14:paraId="2FAA86E3">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cs="仿宋"/>
          <w:b/>
          <w:bCs/>
          <w:color w:val="auto"/>
          <w:spacing w:val="0"/>
          <w:sz w:val="32"/>
          <w:szCs w:val="32"/>
          <w:highlight w:val="none"/>
          <w:lang w:val="en-US" w:eastAsia="zh-CN"/>
        </w:rPr>
        <w:t>区</w:t>
      </w:r>
      <w:r>
        <w:rPr>
          <w:rFonts w:hint="eastAsia" w:ascii="仿宋" w:hAnsi="仿宋" w:eastAsia="仿宋" w:cs="仿宋"/>
          <w:b/>
          <w:bCs/>
          <w:color w:val="auto"/>
          <w:spacing w:val="0"/>
          <w:sz w:val="32"/>
          <w:szCs w:val="32"/>
          <w:highlight w:val="none"/>
          <w:lang w:val="en-US" w:eastAsia="zh-CN"/>
        </w:rPr>
        <w:t>城市管理综合执法部门：</w:t>
      </w:r>
      <w:r>
        <w:rPr>
          <w:rFonts w:hint="eastAsia" w:ascii="仿宋" w:hAnsi="仿宋" w:eastAsia="仿宋" w:cs="仿宋"/>
          <w:b w:val="0"/>
          <w:bCs w:val="0"/>
          <w:color w:val="auto"/>
          <w:spacing w:val="0"/>
          <w:sz w:val="32"/>
          <w:szCs w:val="32"/>
          <w:highlight w:val="none"/>
          <w:lang w:val="en-US" w:eastAsia="zh-CN"/>
        </w:rPr>
        <w:t>负责本行政区域内建筑垃圾管理和执法工作的综合协调、督促指导</w:t>
      </w:r>
      <w:r>
        <w:rPr>
          <w:rFonts w:hint="eastAsia" w:ascii="仿宋" w:hAnsi="仿宋" w:cs="仿宋"/>
          <w:b w:val="0"/>
          <w:bCs w:val="0"/>
          <w:color w:val="auto"/>
          <w:spacing w:val="0"/>
          <w:sz w:val="32"/>
          <w:szCs w:val="32"/>
          <w:highlight w:val="none"/>
          <w:lang w:val="en-US" w:eastAsia="zh-CN"/>
        </w:rPr>
        <w:t>、</w:t>
      </w:r>
      <w:r>
        <w:rPr>
          <w:rFonts w:hint="eastAsia" w:ascii="仿宋" w:hAnsi="仿宋" w:eastAsia="仿宋" w:cs="仿宋"/>
          <w:b w:val="0"/>
          <w:bCs w:val="0"/>
          <w:color w:val="auto"/>
          <w:spacing w:val="0"/>
          <w:sz w:val="32"/>
          <w:szCs w:val="32"/>
          <w:highlight w:val="none"/>
          <w:lang w:val="en-US" w:eastAsia="zh-CN"/>
        </w:rPr>
        <w:t>检查考核</w:t>
      </w:r>
      <w:r>
        <w:rPr>
          <w:rFonts w:hint="eastAsia" w:ascii="仿宋" w:hAnsi="仿宋" w:cs="仿宋"/>
          <w:b w:val="0"/>
          <w:bCs w:val="0"/>
          <w:color w:val="auto"/>
          <w:spacing w:val="0"/>
          <w:sz w:val="32"/>
          <w:szCs w:val="32"/>
          <w:highlight w:val="none"/>
          <w:lang w:val="en-US" w:eastAsia="zh-CN"/>
        </w:rPr>
        <w:t>和具体管理工作</w:t>
      </w:r>
      <w:r>
        <w:rPr>
          <w:rFonts w:hint="eastAsia" w:ascii="仿宋" w:hAnsi="仿宋" w:eastAsia="仿宋" w:cs="仿宋"/>
          <w:b w:val="0"/>
          <w:bCs w:val="0"/>
          <w:color w:val="auto"/>
          <w:spacing w:val="0"/>
          <w:sz w:val="32"/>
          <w:szCs w:val="32"/>
          <w:highlight w:val="none"/>
          <w:lang w:val="en-US" w:eastAsia="zh-CN"/>
        </w:rPr>
        <w:t>，包括核准建筑垃圾排放、运输、消纳等处置活动；依法查处违法处置、倾倒建筑垃圾，在城市道路抛洒建筑垃圾污染路面等违法行为；对建筑垃圾消纳单位安全生产工作实施监督管理等。</w:t>
      </w:r>
    </w:p>
    <w:p w14:paraId="3553206B">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区公安交警部门：</w:t>
      </w:r>
      <w:r>
        <w:rPr>
          <w:rFonts w:hint="eastAsia" w:ascii="仿宋" w:hAnsi="仿宋" w:eastAsia="仿宋" w:cs="仿宋"/>
          <w:b w:val="0"/>
          <w:bCs w:val="0"/>
          <w:color w:val="auto"/>
          <w:spacing w:val="0"/>
          <w:sz w:val="32"/>
          <w:szCs w:val="32"/>
          <w:highlight w:val="none"/>
          <w:lang w:val="en-US" w:eastAsia="zh-CN"/>
        </w:rPr>
        <w:t>负责对本行政区域建筑垃圾运输车辆在道路上的交通违法行为进行查处，对建筑垃圾运输车辆行驶限制货车通行路段核发通行证。</w:t>
      </w:r>
    </w:p>
    <w:p w14:paraId="05989447">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区住房城乡建设部门：</w:t>
      </w:r>
      <w:r>
        <w:rPr>
          <w:rFonts w:hint="eastAsia" w:ascii="仿宋" w:hAnsi="仿宋" w:eastAsia="仿宋" w:cs="仿宋"/>
          <w:b w:val="0"/>
          <w:bCs w:val="0"/>
          <w:color w:val="auto"/>
          <w:spacing w:val="0"/>
          <w:sz w:val="32"/>
          <w:szCs w:val="32"/>
          <w:highlight w:val="none"/>
          <w:lang w:val="en-US" w:eastAsia="zh-CN"/>
        </w:rPr>
        <w:t>负责按照文明施工相关要求对本行政区域已办理施工许可的房屋建筑及市政工程施工工地的建筑垃圾进行监督管理。</w:t>
      </w:r>
    </w:p>
    <w:p w14:paraId="73CA3ED7">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区交通运输部门：</w:t>
      </w:r>
      <w:r>
        <w:rPr>
          <w:rFonts w:hint="eastAsia" w:ascii="仿宋" w:hAnsi="仿宋" w:eastAsia="仿宋" w:cs="仿宋"/>
          <w:b w:val="0"/>
          <w:bCs w:val="0"/>
          <w:color w:val="auto"/>
          <w:spacing w:val="0"/>
          <w:sz w:val="32"/>
          <w:szCs w:val="32"/>
          <w:highlight w:val="none"/>
          <w:lang w:val="en-US" w:eastAsia="zh-CN"/>
        </w:rPr>
        <w:t>依职责对本行政区域建筑垃圾运输企业及辖区内国、省、县、乡道运输车辆的公路运输违法行为进行查处。</w:t>
      </w:r>
    </w:p>
    <w:p w14:paraId="224A8173">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相关部门：</w:t>
      </w:r>
      <w:bookmarkStart w:id="25" w:name="OLE_LINK2"/>
      <w:r>
        <w:rPr>
          <w:rFonts w:hint="eastAsia" w:ascii="仿宋" w:hAnsi="仿宋" w:eastAsia="仿宋" w:cs="仿宋"/>
          <w:b w:val="0"/>
          <w:bCs w:val="0"/>
          <w:color w:val="auto"/>
          <w:spacing w:val="0"/>
          <w:sz w:val="32"/>
          <w:szCs w:val="32"/>
          <w:highlight w:val="none"/>
          <w:lang w:val="en-US" w:eastAsia="zh-CN"/>
        </w:rPr>
        <w:t>区发展改革、生态环境、工业和信息化、市场监督管理、自然资源、应急管理、水利、农业农村、林业、航道、海事等部门按照各自职责协助做好建筑垃圾管理相关工作</w:t>
      </w:r>
      <w:bookmarkEnd w:id="25"/>
      <w:r>
        <w:rPr>
          <w:rFonts w:hint="eastAsia" w:ascii="仿宋" w:hAnsi="仿宋" w:eastAsia="仿宋" w:cs="仿宋"/>
          <w:b w:val="0"/>
          <w:bCs w:val="0"/>
          <w:color w:val="auto"/>
          <w:spacing w:val="0"/>
          <w:sz w:val="32"/>
          <w:szCs w:val="32"/>
          <w:highlight w:val="none"/>
          <w:lang w:val="en-US" w:eastAsia="zh-CN"/>
        </w:rPr>
        <w:t>。</w:t>
      </w:r>
    </w:p>
    <w:p w14:paraId="53673B3F">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街道办事处、镇人民政府：</w:t>
      </w:r>
      <w:r>
        <w:rPr>
          <w:rFonts w:hint="eastAsia" w:ascii="仿宋" w:hAnsi="仿宋" w:eastAsia="仿宋" w:cs="仿宋"/>
          <w:b w:val="0"/>
          <w:bCs w:val="0"/>
          <w:color w:val="auto"/>
          <w:spacing w:val="0"/>
          <w:sz w:val="32"/>
          <w:szCs w:val="32"/>
          <w:highlight w:val="none"/>
          <w:lang w:val="en-US" w:eastAsia="zh-CN"/>
        </w:rPr>
        <w:t>负责本辖区内建筑垃圾日常管理和执法，指导居民委员会、村民委员会、物业管理小区协助做好建筑垃圾管理相关工作。</w:t>
      </w:r>
    </w:p>
    <w:p w14:paraId="7CA71320">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2.排放环节主要职责分工</w:t>
      </w:r>
    </w:p>
    <w:p w14:paraId="4D53A43E">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区城市管理综合执法部门：</w:t>
      </w:r>
      <w:r>
        <w:rPr>
          <w:rFonts w:hint="eastAsia" w:ascii="仿宋" w:hAnsi="仿宋" w:eastAsia="仿宋" w:cs="仿宋"/>
          <w:color w:val="auto"/>
          <w:spacing w:val="0"/>
          <w:sz w:val="32"/>
          <w:szCs w:val="32"/>
          <w:highlight w:val="none"/>
          <w:lang w:val="en-US" w:eastAsia="zh-CN"/>
        </w:rPr>
        <w:t>负责受理本行政区域施工工地的《建筑垃圾处理方案》备案；对排放建筑垃圾的施工工地核发《</w:t>
      </w:r>
      <w:r>
        <w:rPr>
          <w:rFonts w:hint="eastAsia" w:ascii="仿宋" w:hAnsi="仿宋" w:cs="仿宋"/>
          <w:color w:val="auto"/>
          <w:spacing w:val="0"/>
          <w:sz w:val="32"/>
          <w:szCs w:val="32"/>
          <w:highlight w:val="none"/>
          <w:lang w:val="en-US" w:eastAsia="zh-CN"/>
        </w:rPr>
        <w:t>城市建筑垃圾排放证</w:t>
      </w:r>
      <w:r>
        <w:rPr>
          <w:rFonts w:hint="eastAsia" w:ascii="仿宋" w:hAnsi="仿宋" w:eastAsia="仿宋" w:cs="仿宋"/>
          <w:color w:val="auto"/>
          <w:spacing w:val="0"/>
          <w:sz w:val="32"/>
          <w:szCs w:val="32"/>
          <w:highlight w:val="none"/>
          <w:lang w:val="en-US" w:eastAsia="zh-CN"/>
        </w:rPr>
        <w:t>》，并根据备案核准内容实施</w:t>
      </w:r>
      <w:r>
        <w:rPr>
          <w:rFonts w:hint="eastAsia" w:ascii="仿宋" w:hAnsi="仿宋" w:eastAsia="仿宋" w:cs="仿宋"/>
          <w:color w:val="auto"/>
          <w:sz w:val="32"/>
          <w:szCs w:val="32"/>
          <w:highlight w:val="none"/>
          <w:lang w:val="en-US" w:eastAsia="zh-CN"/>
        </w:rPr>
        <w:t>事中事后监管</w:t>
      </w:r>
      <w:r>
        <w:rPr>
          <w:rFonts w:hint="eastAsia" w:ascii="仿宋" w:hAnsi="仿宋" w:eastAsia="仿宋" w:cs="仿宋"/>
          <w:color w:val="auto"/>
          <w:spacing w:val="0"/>
          <w:sz w:val="32"/>
          <w:szCs w:val="32"/>
          <w:highlight w:val="none"/>
          <w:lang w:val="en-US" w:eastAsia="zh-CN"/>
        </w:rPr>
        <w:t>。</w:t>
      </w:r>
    </w:p>
    <w:p w14:paraId="68B398A4">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区住房城乡建设、交通运输、水利</w:t>
      </w:r>
      <w:r>
        <w:rPr>
          <w:rFonts w:hint="eastAsia" w:ascii="仿宋" w:hAnsi="仿宋" w:cs="仿宋"/>
          <w:b/>
          <w:bCs/>
          <w:color w:val="auto"/>
          <w:spacing w:val="0"/>
          <w:sz w:val="32"/>
          <w:szCs w:val="32"/>
          <w:highlight w:val="none"/>
          <w:lang w:val="en-US" w:eastAsia="zh-CN"/>
        </w:rPr>
        <w:t>、农业农村</w:t>
      </w:r>
      <w:r>
        <w:rPr>
          <w:rFonts w:hint="eastAsia" w:ascii="仿宋" w:hAnsi="仿宋" w:eastAsia="仿宋" w:cs="仿宋"/>
          <w:b/>
          <w:bCs/>
          <w:color w:val="auto"/>
          <w:spacing w:val="0"/>
          <w:sz w:val="32"/>
          <w:szCs w:val="32"/>
          <w:highlight w:val="none"/>
          <w:lang w:val="en-US" w:eastAsia="zh-CN"/>
        </w:rPr>
        <w:t>等部门：</w:t>
      </w:r>
      <w:r>
        <w:rPr>
          <w:rFonts w:hint="eastAsia" w:ascii="仿宋" w:hAnsi="仿宋" w:eastAsia="仿宋" w:cs="仿宋"/>
          <w:color w:val="auto"/>
          <w:spacing w:val="0"/>
          <w:sz w:val="32"/>
          <w:szCs w:val="32"/>
          <w:highlight w:val="none"/>
          <w:lang w:val="en-US" w:eastAsia="zh-CN"/>
        </w:rPr>
        <w:t>负责指导本部门监管的</w:t>
      </w:r>
      <w:r>
        <w:rPr>
          <w:rFonts w:hint="eastAsia" w:ascii="仿宋" w:hAnsi="仿宋" w:eastAsia="仿宋" w:cs="仿宋"/>
          <w:b w:val="0"/>
          <w:bCs w:val="0"/>
          <w:color w:val="auto"/>
          <w:spacing w:val="0"/>
          <w:sz w:val="32"/>
          <w:szCs w:val="32"/>
          <w:highlight w:val="none"/>
          <w:lang w:val="en-US" w:eastAsia="zh-CN"/>
        </w:rPr>
        <w:t>施工工地</w:t>
      </w:r>
      <w:r>
        <w:rPr>
          <w:rFonts w:hint="eastAsia" w:ascii="仿宋" w:hAnsi="仿宋" w:eastAsia="仿宋" w:cs="仿宋"/>
          <w:color w:val="auto"/>
          <w:spacing w:val="0"/>
          <w:sz w:val="32"/>
          <w:szCs w:val="32"/>
          <w:highlight w:val="none"/>
          <w:lang w:val="en-US" w:eastAsia="zh-CN"/>
        </w:rPr>
        <w:t>建筑垃圾源头减量、分类排放、现场管理和安全生产监管，以及建筑垃圾再生产品在相关领域的推广应用，督促建设、施工单位落实建筑垃圾处置核准制度及“一不准进、三不准出”管理制度等。</w:t>
      </w:r>
    </w:p>
    <w:p w14:paraId="5B8E3EF1">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街道办事处、镇人民政府：</w:t>
      </w:r>
      <w:r>
        <w:rPr>
          <w:rFonts w:hint="eastAsia" w:ascii="仿宋" w:hAnsi="仿宋" w:eastAsia="仿宋" w:cs="仿宋"/>
          <w:color w:val="auto"/>
          <w:spacing w:val="0"/>
          <w:sz w:val="32"/>
          <w:szCs w:val="32"/>
          <w:highlight w:val="none"/>
          <w:lang w:val="en-US" w:eastAsia="zh-CN"/>
        </w:rPr>
        <w:t>负责对本行政区域建设单位、施工单位未按规定办理《建筑垃圾处理方案》备案或《</w:t>
      </w:r>
      <w:r>
        <w:rPr>
          <w:rFonts w:hint="eastAsia" w:ascii="仿宋" w:hAnsi="仿宋" w:cs="仿宋"/>
          <w:color w:val="auto"/>
          <w:spacing w:val="0"/>
          <w:sz w:val="32"/>
          <w:szCs w:val="32"/>
          <w:highlight w:val="none"/>
          <w:lang w:val="en-US" w:eastAsia="zh-CN"/>
        </w:rPr>
        <w:t>城市建筑垃圾排放证</w:t>
      </w:r>
      <w:r>
        <w:rPr>
          <w:rFonts w:hint="eastAsia" w:ascii="仿宋" w:hAnsi="仿宋" w:eastAsia="仿宋" w:cs="仿宋"/>
          <w:color w:val="auto"/>
          <w:spacing w:val="0"/>
          <w:sz w:val="32"/>
          <w:szCs w:val="32"/>
          <w:highlight w:val="none"/>
          <w:lang w:val="en-US" w:eastAsia="zh-CN"/>
        </w:rPr>
        <w:t>》等行为进行处罚；对</w:t>
      </w:r>
      <w:r>
        <w:rPr>
          <w:rFonts w:hint="eastAsia" w:ascii="仿宋" w:hAnsi="仿宋" w:eastAsia="仿宋" w:cs="仿宋"/>
          <w:b w:val="0"/>
          <w:i w:val="0"/>
          <w:snapToGrid/>
          <w:color w:val="auto"/>
          <w:sz w:val="32"/>
          <w:szCs w:val="20"/>
          <w:highlight w:val="none"/>
          <w:lang w:eastAsia="zh-CN"/>
        </w:rPr>
        <w:t>将建筑垃圾交给个人或者未经许可的运输企业运输</w:t>
      </w:r>
      <w:r>
        <w:rPr>
          <w:rFonts w:hint="eastAsia" w:ascii="仿宋" w:hAnsi="仿宋" w:eastAsia="仿宋" w:cs="仿宋"/>
          <w:color w:val="auto"/>
          <w:spacing w:val="0"/>
          <w:sz w:val="32"/>
          <w:szCs w:val="32"/>
          <w:highlight w:val="none"/>
          <w:lang w:val="en-US" w:eastAsia="zh-CN"/>
        </w:rPr>
        <w:t>等行为进行处罚；对车辆装载建筑垃圾不符合密闭要求、未冲洗干净，以及未保持工地出入口清洁等行为进行处罚</w:t>
      </w:r>
      <w:r>
        <w:rPr>
          <w:rFonts w:hint="eastAsia" w:ascii="仿宋" w:hAnsi="仿宋" w:eastAsia="仿宋" w:cs="仿宋"/>
          <w:b w:val="0"/>
          <w:bCs w:val="0"/>
          <w:color w:val="auto"/>
          <w:spacing w:val="0"/>
          <w:sz w:val="32"/>
          <w:szCs w:val="32"/>
          <w:highlight w:val="none"/>
          <w:lang w:val="en-US" w:eastAsia="zh-CN"/>
        </w:rPr>
        <w:t>。</w:t>
      </w:r>
    </w:p>
    <w:p w14:paraId="6D420B9F">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3.陆路运输环节主要职责分工</w:t>
      </w:r>
    </w:p>
    <w:p w14:paraId="501F2F4F">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区城市管理综合执法部门：</w:t>
      </w:r>
      <w:r>
        <w:rPr>
          <w:rFonts w:hint="eastAsia" w:ascii="仿宋" w:hAnsi="仿宋" w:eastAsia="仿宋" w:cs="仿宋"/>
          <w:color w:val="auto"/>
          <w:spacing w:val="0"/>
          <w:sz w:val="32"/>
          <w:szCs w:val="32"/>
          <w:highlight w:val="none"/>
          <w:lang w:val="en-US" w:eastAsia="zh-CN"/>
        </w:rPr>
        <w:t>负责对本行政区域从事建筑垃圾运输的企业核发《清远市建筑垃圾处置证（运输）》，并根据核准内容实施事中事后监管；按照《清远市建筑垃圾运输企业监管考核办法（试行）》，对核准的运输企业及其车辆进行日常监管和考核；负责对建筑垃圾撒漏污染道路的保洁工作。</w:t>
      </w:r>
    </w:p>
    <w:p w14:paraId="57C0C47F">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区公安交警部门：</w:t>
      </w:r>
      <w:r>
        <w:rPr>
          <w:rFonts w:hint="eastAsia" w:ascii="仿宋" w:hAnsi="仿宋" w:eastAsia="仿宋" w:cs="仿宋"/>
          <w:b w:val="0"/>
          <w:bCs w:val="0"/>
          <w:color w:val="auto"/>
          <w:spacing w:val="0"/>
          <w:sz w:val="32"/>
          <w:szCs w:val="32"/>
          <w:highlight w:val="none"/>
          <w:lang w:val="en-US" w:eastAsia="zh-CN"/>
        </w:rPr>
        <w:t>负责本行政区域建筑垃圾运输车辆的道路交通安全管理工作</w:t>
      </w:r>
      <w:r>
        <w:rPr>
          <w:rFonts w:hint="eastAsia" w:ascii="仿宋" w:hAnsi="仿宋" w:eastAsia="仿宋" w:cs="仿宋"/>
          <w:color w:val="auto"/>
          <w:spacing w:val="0"/>
          <w:sz w:val="32"/>
          <w:szCs w:val="32"/>
          <w:highlight w:val="none"/>
          <w:lang w:val="en-US" w:eastAsia="zh-CN"/>
        </w:rPr>
        <w:t>，包括对</w:t>
      </w:r>
      <w:r>
        <w:rPr>
          <w:rFonts w:hint="eastAsia" w:ascii="仿宋" w:hAnsi="仿宋" w:eastAsia="仿宋" w:cs="仿宋"/>
          <w:b w:val="0"/>
          <w:bCs w:val="0"/>
          <w:color w:val="auto"/>
          <w:spacing w:val="0"/>
          <w:sz w:val="32"/>
          <w:szCs w:val="32"/>
          <w:highlight w:val="none"/>
          <w:lang w:val="en-US" w:eastAsia="zh-CN"/>
        </w:rPr>
        <w:t>建筑垃圾运输车辆</w:t>
      </w:r>
      <w:r>
        <w:rPr>
          <w:rFonts w:hint="eastAsia" w:ascii="仿宋" w:hAnsi="仿宋" w:eastAsia="仿宋" w:cs="仿宋"/>
          <w:color w:val="auto"/>
          <w:spacing w:val="0"/>
          <w:sz w:val="32"/>
          <w:szCs w:val="32"/>
          <w:highlight w:val="none"/>
          <w:lang w:val="en-US" w:eastAsia="zh-CN"/>
        </w:rPr>
        <w:t>超载、超速、闯红灯、违反道路通行规定等行为的监管。</w:t>
      </w:r>
    </w:p>
    <w:p w14:paraId="2A001C64">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街道办事处、镇人民政府：</w:t>
      </w:r>
      <w:r>
        <w:rPr>
          <w:rFonts w:hint="eastAsia" w:ascii="仿宋" w:hAnsi="仿宋" w:eastAsia="仿宋" w:cs="仿宋"/>
          <w:color w:val="auto"/>
          <w:spacing w:val="0"/>
          <w:sz w:val="32"/>
          <w:szCs w:val="32"/>
          <w:highlight w:val="none"/>
          <w:lang w:val="en-US" w:eastAsia="zh-CN"/>
        </w:rPr>
        <w:t>负责对本行政区域运输单位未按规定办理《清远市建筑垃圾处置证（运输）》，以及建筑垃圾运输车辆不整洁、不密闭装载、沿途撒漏、车轮车厢外侧带泥行驶等行为进行处罚。</w:t>
      </w:r>
    </w:p>
    <w:p w14:paraId="5B1ED66E">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4.水路运输环节主要职责分工</w:t>
      </w:r>
    </w:p>
    <w:p w14:paraId="23BA02A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建筑垃圾水上运输由交通运输、航道等部门依法管理，海事部门依法对建筑垃圾水上运输安全进行监督。</w:t>
      </w:r>
    </w:p>
    <w:p w14:paraId="1FF44B32">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5.综合利用和消纳环节主要职责分工</w:t>
      </w:r>
    </w:p>
    <w:p w14:paraId="5C04B1A9">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区城市管理综合执法部门：</w:t>
      </w:r>
      <w:r>
        <w:rPr>
          <w:rFonts w:hint="eastAsia" w:ascii="仿宋" w:hAnsi="仿宋" w:eastAsia="仿宋" w:cs="仿宋"/>
          <w:color w:val="auto"/>
          <w:spacing w:val="0"/>
          <w:sz w:val="32"/>
          <w:szCs w:val="32"/>
          <w:highlight w:val="none"/>
          <w:lang w:val="en-US" w:eastAsia="zh-CN"/>
        </w:rPr>
        <w:t>负责对本行政区域从事建筑垃圾综合利用、消纳的单位核发《</w:t>
      </w:r>
      <w:r>
        <w:rPr>
          <w:rFonts w:hint="eastAsia" w:ascii="仿宋" w:hAnsi="仿宋" w:cs="仿宋"/>
          <w:color w:val="auto"/>
          <w:spacing w:val="0"/>
          <w:sz w:val="32"/>
          <w:szCs w:val="32"/>
          <w:highlight w:val="none"/>
          <w:lang w:val="en-US" w:eastAsia="zh-CN"/>
        </w:rPr>
        <w:t>城市建筑垃圾处置受纳证</w:t>
      </w:r>
      <w:r>
        <w:rPr>
          <w:rFonts w:hint="eastAsia" w:ascii="仿宋" w:hAnsi="仿宋" w:eastAsia="仿宋" w:cs="仿宋"/>
          <w:color w:val="auto"/>
          <w:spacing w:val="0"/>
          <w:sz w:val="32"/>
          <w:szCs w:val="32"/>
          <w:highlight w:val="none"/>
          <w:lang w:val="en-US" w:eastAsia="zh-CN"/>
        </w:rPr>
        <w:t>》；指导建筑垃圾资源化项目及消纳场运营单位落实安全生产和生态环境保护主体责任。</w:t>
      </w:r>
    </w:p>
    <w:p w14:paraId="3E7E0E41">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区住房城乡建设、交通运输、水利、农业农村等部门：</w:t>
      </w:r>
      <w:r>
        <w:rPr>
          <w:rFonts w:hint="eastAsia" w:ascii="仿宋" w:hAnsi="仿宋" w:eastAsia="仿宋" w:cs="仿宋"/>
          <w:color w:val="auto"/>
          <w:spacing w:val="0"/>
          <w:sz w:val="32"/>
          <w:szCs w:val="32"/>
          <w:highlight w:val="none"/>
          <w:lang w:val="en-US" w:eastAsia="zh-CN"/>
        </w:rPr>
        <w:t>负责指导本部门监管的</w:t>
      </w:r>
      <w:r>
        <w:rPr>
          <w:rFonts w:hint="eastAsia" w:ascii="仿宋" w:hAnsi="仿宋" w:eastAsia="仿宋" w:cs="仿宋"/>
          <w:b w:val="0"/>
          <w:bCs w:val="0"/>
          <w:color w:val="auto"/>
          <w:spacing w:val="0"/>
          <w:sz w:val="32"/>
          <w:szCs w:val="32"/>
          <w:highlight w:val="none"/>
          <w:lang w:val="en-US" w:eastAsia="zh-CN"/>
        </w:rPr>
        <w:t>施工工地</w:t>
      </w:r>
      <w:r>
        <w:rPr>
          <w:rFonts w:hint="eastAsia" w:ascii="仿宋" w:hAnsi="仿宋" w:eastAsia="仿宋" w:cs="仿宋"/>
          <w:color w:val="auto"/>
          <w:spacing w:val="0"/>
          <w:sz w:val="32"/>
          <w:szCs w:val="32"/>
          <w:highlight w:val="none"/>
          <w:lang w:val="en-US" w:eastAsia="zh-CN"/>
        </w:rPr>
        <w:t>建筑垃圾工程回填、土地平整及现场就地资源化利用等的安全生产监管。</w:t>
      </w:r>
    </w:p>
    <w:p w14:paraId="05A652AC">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区自然资源部门：</w:t>
      </w:r>
      <w:r>
        <w:rPr>
          <w:rFonts w:hint="eastAsia" w:ascii="仿宋" w:hAnsi="仿宋" w:eastAsia="仿宋" w:cs="仿宋"/>
          <w:color w:val="auto"/>
          <w:spacing w:val="0"/>
          <w:sz w:val="32"/>
          <w:szCs w:val="32"/>
          <w:highlight w:val="none"/>
          <w:lang w:val="en-US" w:eastAsia="zh-CN"/>
        </w:rPr>
        <w:t>负责本行政区域建筑垃圾综合利用、消纳、转运设施用地和规划审批，做好供地保障。</w:t>
      </w:r>
    </w:p>
    <w:p w14:paraId="1FE7385E">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区</w:t>
      </w:r>
      <w:r>
        <w:rPr>
          <w:rFonts w:hint="eastAsia" w:ascii="仿宋" w:hAnsi="仿宋" w:cs="仿宋"/>
          <w:b/>
          <w:bCs/>
          <w:color w:val="auto"/>
          <w:spacing w:val="0"/>
          <w:sz w:val="32"/>
          <w:szCs w:val="32"/>
          <w:highlight w:val="none"/>
          <w:lang w:val="en-US" w:eastAsia="zh-CN"/>
        </w:rPr>
        <w:t>行政审批</w:t>
      </w:r>
      <w:r>
        <w:rPr>
          <w:rFonts w:hint="eastAsia" w:ascii="仿宋" w:hAnsi="仿宋" w:eastAsia="仿宋" w:cs="仿宋"/>
          <w:b/>
          <w:bCs/>
          <w:color w:val="auto"/>
          <w:spacing w:val="0"/>
          <w:sz w:val="32"/>
          <w:szCs w:val="32"/>
          <w:highlight w:val="none"/>
          <w:lang w:val="en-US" w:eastAsia="zh-CN"/>
        </w:rPr>
        <w:t>部门：</w:t>
      </w:r>
      <w:r>
        <w:rPr>
          <w:rFonts w:hint="eastAsia" w:ascii="仿宋" w:hAnsi="仿宋" w:eastAsia="仿宋" w:cs="仿宋"/>
          <w:color w:val="auto"/>
          <w:spacing w:val="0"/>
          <w:sz w:val="32"/>
          <w:szCs w:val="32"/>
          <w:highlight w:val="none"/>
          <w:lang w:val="en-US" w:eastAsia="zh-CN"/>
        </w:rPr>
        <w:t>负责本行政区域建筑垃圾处置及综合利用的环评审批工作。</w:t>
      </w:r>
    </w:p>
    <w:p w14:paraId="3C3EA260">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街道办事处、镇人民政府：</w:t>
      </w:r>
      <w:r>
        <w:rPr>
          <w:rFonts w:hint="eastAsia" w:ascii="仿宋" w:hAnsi="仿宋" w:eastAsia="仿宋" w:cs="仿宋"/>
          <w:color w:val="auto"/>
          <w:sz w:val="32"/>
          <w:szCs w:val="32"/>
          <w:highlight w:val="none"/>
          <w:u w:val="none"/>
          <w:lang w:eastAsia="zh-CN"/>
        </w:rPr>
        <w:t>负责对</w:t>
      </w:r>
      <w:r>
        <w:rPr>
          <w:rFonts w:hint="eastAsia" w:ascii="仿宋" w:hAnsi="仿宋" w:eastAsia="仿宋" w:cs="仿宋"/>
          <w:color w:val="auto"/>
          <w:sz w:val="32"/>
          <w:szCs w:val="32"/>
          <w:highlight w:val="none"/>
          <w:u w:val="none"/>
          <w:lang w:val="en-US" w:eastAsia="zh-CN"/>
        </w:rPr>
        <w:t>本行政区域相关单位</w:t>
      </w:r>
      <w:r>
        <w:rPr>
          <w:rFonts w:hint="eastAsia" w:ascii="仿宋" w:hAnsi="仿宋" w:eastAsia="仿宋" w:cs="仿宋"/>
          <w:color w:val="auto"/>
          <w:sz w:val="32"/>
          <w:szCs w:val="32"/>
          <w:highlight w:val="none"/>
          <w:u w:val="none"/>
          <w:lang w:eastAsia="zh-CN"/>
        </w:rPr>
        <w:t>未按规定办理《</w:t>
      </w:r>
      <w:r>
        <w:rPr>
          <w:rFonts w:hint="eastAsia" w:ascii="仿宋" w:hAnsi="仿宋" w:cs="仿宋"/>
          <w:color w:val="auto"/>
          <w:spacing w:val="0"/>
          <w:sz w:val="32"/>
          <w:szCs w:val="32"/>
          <w:highlight w:val="none"/>
          <w:lang w:val="en-US" w:eastAsia="zh-CN"/>
        </w:rPr>
        <w:t>城市建筑垃圾处置受纳证</w:t>
      </w:r>
      <w:r>
        <w:rPr>
          <w:rFonts w:hint="eastAsia" w:ascii="仿宋" w:hAnsi="仿宋" w:eastAsia="仿宋" w:cs="仿宋"/>
          <w:color w:val="auto"/>
          <w:sz w:val="32"/>
          <w:szCs w:val="32"/>
          <w:highlight w:val="none"/>
          <w:u w:val="none"/>
          <w:lang w:eastAsia="zh-CN"/>
        </w:rPr>
        <w:t>》消纳</w:t>
      </w:r>
      <w:r>
        <w:rPr>
          <w:rFonts w:hint="eastAsia" w:ascii="仿宋" w:hAnsi="仿宋" w:eastAsia="仿宋" w:cs="仿宋"/>
          <w:color w:val="auto"/>
          <w:spacing w:val="0"/>
          <w:sz w:val="32"/>
          <w:szCs w:val="32"/>
          <w:highlight w:val="none"/>
          <w:lang w:val="en-US" w:eastAsia="zh-CN"/>
        </w:rPr>
        <w:t>建筑垃圾</w:t>
      </w:r>
      <w:r>
        <w:rPr>
          <w:rFonts w:hint="eastAsia" w:ascii="仿宋" w:hAnsi="仿宋" w:eastAsia="仿宋" w:cs="仿宋"/>
          <w:color w:val="auto"/>
          <w:sz w:val="32"/>
          <w:szCs w:val="32"/>
          <w:highlight w:val="none"/>
          <w:u w:val="none"/>
          <w:lang w:eastAsia="zh-CN"/>
        </w:rPr>
        <w:t>、未保持场区出入口清洁，造成环境污染等行为进行处罚</w:t>
      </w:r>
      <w:r>
        <w:rPr>
          <w:rFonts w:hint="eastAsia" w:ascii="仿宋" w:hAnsi="仿宋" w:eastAsia="仿宋" w:cs="仿宋"/>
          <w:color w:val="auto"/>
          <w:spacing w:val="0"/>
          <w:sz w:val="32"/>
          <w:szCs w:val="32"/>
          <w:highlight w:val="none"/>
          <w:lang w:val="en-US" w:eastAsia="zh-CN"/>
        </w:rPr>
        <w:t>。</w:t>
      </w:r>
    </w:p>
    <w:p w14:paraId="028E50B1">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26" w:name="_Toc19825"/>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排放核准及污染防治措施要求</w:t>
      </w:r>
      <w:bookmarkEnd w:id="26"/>
    </w:p>
    <w:p w14:paraId="060DCECE">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1.排放环节核准要求</w:t>
      </w:r>
    </w:p>
    <w:p w14:paraId="1179652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建筑垃圾排放环节核准相关工作应符合</w:t>
      </w:r>
      <w:r>
        <w:rPr>
          <w:rFonts w:hint="eastAsia" w:ascii="仿宋" w:hAnsi="仿宋" w:eastAsia="仿宋" w:cs="仿宋"/>
          <w:color w:val="auto"/>
          <w:spacing w:val="0"/>
          <w:sz w:val="32"/>
          <w:szCs w:val="32"/>
          <w:highlight w:val="none"/>
          <w:lang w:eastAsia="zh-CN"/>
        </w:rPr>
        <w:t>《城市建筑垃圾管理规定》</w:t>
      </w:r>
      <w:r>
        <w:rPr>
          <w:rFonts w:hint="eastAsia" w:ascii="仿宋" w:hAnsi="仿宋" w:eastAsia="仿宋" w:cs="仿宋"/>
          <w:color w:val="auto"/>
          <w:spacing w:val="0"/>
          <w:sz w:val="32"/>
          <w:szCs w:val="32"/>
          <w:highlight w:val="none"/>
        </w:rPr>
        <w:t>《广东省建筑垃圾管理条例》</w:t>
      </w:r>
      <w:r>
        <w:rPr>
          <w:rFonts w:hint="eastAsia" w:ascii="仿宋" w:hAnsi="仿宋" w:eastAsia="仿宋" w:cs="仿宋"/>
          <w:color w:val="auto"/>
          <w:spacing w:val="0"/>
          <w:sz w:val="32"/>
          <w:szCs w:val="32"/>
          <w:highlight w:val="none"/>
          <w:lang w:eastAsia="zh-CN"/>
        </w:rPr>
        <w:t>等</w:t>
      </w:r>
      <w:r>
        <w:rPr>
          <w:rFonts w:hint="eastAsia" w:ascii="仿宋" w:hAnsi="仿宋" w:eastAsia="仿宋" w:cs="仿宋"/>
          <w:color w:val="auto"/>
          <w:spacing w:val="0"/>
          <w:kern w:val="2"/>
          <w:sz w:val="32"/>
          <w:szCs w:val="32"/>
          <w:highlight w:val="none"/>
          <w:lang w:val="en-US" w:eastAsia="zh-CN" w:bidi="ar-SA"/>
        </w:rPr>
        <w:t>规定。建设单位或施工单位向施工场地外处置建筑垃圾的，应在工程开工前向建筑垃圾主管部门申请核发《</w:t>
      </w:r>
      <w:r>
        <w:rPr>
          <w:rFonts w:hint="eastAsia" w:ascii="仿宋" w:hAnsi="仿宋" w:cs="仿宋"/>
          <w:color w:val="auto"/>
          <w:spacing w:val="0"/>
          <w:kern w:val="2"/>
          <w:sz w:val="32"/>
          <w:szCs w:val="32"/>
          <w:highlight w:val="none"/>
          <w:lang w:val="en-US" w:eastAsia="zh-CN" w:bidi="ar-SA"/>
        </w:rPr>
        <w:t>城市建筑垃圾排放证</w:t>
      </w:r>
      <w:r>
        <w:rPr>
          <w:rFonts w:hint="eastAsia" w:ascii="仿宋" w:hAnsi="仿宋" w:eastAsia="仿宋" w:cs="仿宋"/>
          <w:color w:val="auto"/>
          <w:spacing w:val="0"/>
          <w:kern w:val="2"/>
          <w:sz w:val="32"/>
          <w:szCs w:val="32"/>
          <w:highlight w:val="none"/>
          <w:lang w:val="en-US" w:eastAsia="zh-CN" w:bidi="ar-SA"/>
        </w:rPr>
        <w:t>》。工程施工单位应当编制建筑垃圾处理方案，采取污染防治措施，并在开工前报建筑垃圾主管部门备案。</w:t>
      </w:r>
    </w:p>
    <w:p w14:paraId="44B9626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居民因装饰装修房屋（含商铺、仓库，下同）等产生的建筑垃圾，已实行物业管理的，应当在其物业管理区域内的建筑垃圾收集点等指定地点临时堆放，并在48小时内清运；未实行物业管理的，应当在村（居）委等部门指定地点临时堆放，并在48小时内清运。</w:t>
      </w:r>
    </w:p>
    <w:p w14:paraId="4DA680A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居民装饰装修房屋等产生的建筑垃圾，应当由居民或建筑垃圾收集、转运设施运营单位委托经核准的运输企业清运属地建筑垃圾主管部门指定的建筑垃圾转运设施或处置设施。居民处置住宅装饰装修垃圾已经或者将危害交通安全、造成环境污染或者破坏自然资源的，由城市管理综合执法部门会同相关部门进行查处，并责令当事人限期清除，逾期不清除的，由城市管理综合执法部门或镇人民政府、街道办事处实施清除，相关费用由造成污染的当事人承担。</w:t>
      </w:r>
    </w:p>
    <w:p w14:paraId="546902A0">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2.排放环节污染防治要求</w:t>
      </w:r>
    </w:p>
    <w:p w14:paraId="5B4D5C4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bidi="ar-SA"/>
        </w:rPr>
        <w:t>建筑垃圾排放单位应当遵守下列规定：（1）</w:t>
      </w:r>
      <w:r>
        <w:rPr>
          <w:rFonts w:hint="eastAsia" w:ascii="仿宋" w:hAnsi="仿宋" w:eastAsia="仿宋" w:cs="仿宋"/>
          <w:color w:val="auto"/>
          <w:sz w:val="32"/>
          <w:szCs w:val="32"/>
          <w:highlight w:val="none"/>
          <w:lang w:val="en-US" w:eastAsia="zh-CN"/>
        </w:rPr>
        <w:t>建立施工现场公示制度，施工单位将建筑垃圾的产生量与种类、清运时间、最终去向等信息在施工现场公示，接受社会监督</w:t>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cs="仿宋"/>
          <w:color w:val="auto"/>
          <w:spacing w:val="0"/>
          <w:kern w:val="2"/>
          <w:sz w:val="32"/>
          <w:szCs w:val="32"/>
          <w:highlight w:val="none"/>
          <w:lang w:val="en-US" w:eastAsia="zh-CN" w:bidi="ar-SA"/>
        </w:rPr>
        <w:t>2</w:t>
      </w:r>
      <w:r>
        <w:rPr>
          <w:rFonts w:hint="eastAsia" w:ascii="仿宋" w:hAnsi="仿宋" w:eastAsia="仿宋" w:cs="仿宋"/>
          <w:color w:val="auto"/>
          <w:spacing w:val="0"/>
          <w:kern w:val="2"/>
          <w:sz w:val="32"/>
          <w:szCs w:val="32"/>
          <w:highlight w:val="none"/>
          <w:lang w:val="en-US" w:eastAsia="zh-CN" w:bidi="ar-SA"/>
        </w:rPr>
        <w:t>）对出入工地的建筑垃圾运输车辆实行“一不准进、三不准出”管理，即无证车辆不准进，未冲洗干净车辆不准出，不密闭车辆不准出，超限超载车辆不准出；（</w:t>
      </w:r>
      <w:r>
        <w:rPr>
          <w:rFonts w:hint="eastAsia" w:ascii="仿宋" w:hAnsi="仿宋" w:cs="仿宋"/>
          <w:color w:val="auto"/>
          <w:spacing w:val="0"/>
          <w:kern w:val="2"/>
          <w:sz w:val="32"/>
          <w:szCs w:val="32"/>
          <w:highlight w:val="none"/>
          <w:lang w:val="en-US" w:eastAsia="zh-CN" w:bidi="ar-SA"/>
        </w:rPr>
        <w:t>3</w:t>
      </w:r>
      <w:r>
        <w:rPr>
          <w:rFonts w:hint="eastAsia" w:ascii="仿宋" w:hAnsi="仿宋" w:eastAsia="仿宋" w:cs="仿宋"/>
          <w:color w:val="auto"/>
          <w:spacing w:val="0"/>
          <w:kern w:val="2"/>
          <w:sz w:val="32"/>
          <w:szCs w:val="32"/>
          <w:highlight w:val="none"/>
          <w:lang w:val="en-US" w:eastAsia="zh-CN" w:bidi="ar-SA"/>
        </w:rPr>
        <w:t>）产生的建筑垃圾除回填利用外应及时清运，保持工地和周边环境整洁；（</w:t>
      </w:r>
      <w:r>
        <w:rPr>
          <w:rFonts w:hint="eastAsia" w:ascii="仿宋" w:hAnsi="仿宋" w:cs="仿宋"/>
          <w:color w:val="auto"/>
          <w:spacing w:val="0"/>
          <w:kern w:val="2"/>
          <w:sz w:val="32"/>
          <w:szCs w:val="32"/>
          <w:highlight w:val="none"/>
          <w:lang w:val="en-US" w:eastAsia="zh-CN" w:bidi="ar-SA"/>
        </w:rPr>
        <w:t>4</w:t>
      </w:r>
      <w:r>
        <w:rPr>
          <w:rFonts w:hint="eastAsia" w:ascii="仿宋" w:hAnsi="仿宋" w:eastAsia="仿宋" w:cs="仿宋"/>
          <w:color w:val="auto"/>
          <w:spacing w:val="0"/>
          <w:kern w:val="2"/>
          <w:sz w:val="32"/>
          <w:szCs w:val="32"/>
          <w:highlight w:val="none"/>
          <w:lang w:val="en-US" w:eastAsia="zh-CN" w:bidi="ar-SA"/>
        </w:rPr>
        <w:t>）按相关技术要求设置围挡、公示牌，工地内主要道路和出入口道路硬底化；（</w:t>
      </w:r>
      <w:r>
        <w:rPr>
          <w:rFonts w:hint="eastAsia" w:ascii="仿宋" w:hAnsi="仿宋" w:cs="仿宋"/>
          <w:color w:val="auto"/>
          <w:spacing w:val="0"/>
          <w:kern w:val="2"/>
          <w:sz w:val="32"/>
          <w:szCs w:val="32"/>
          <w:highlight w:val="none"/>
          <w:lang w:val="en-US" w:eastAsia="zh-CN" w:bidi="ar-SA"/>
        </w:rPr>
        <w:t>5</w:t>
      </w:r>
      <w:r>
        <w:rPr>
          <w:rFonts w:hint="eastAsia" w:ascii="仿宋" w:hAnsi="仿宋" w:eastAsia="仿宋" w:cs="仿宋"/>
          <w:color w:val="auto"/>
          <w:spacing w:val="0"/>
          <w:kern w:val="2"/>
          <w:sz w:val="32"/>
          <w:szCs w:val="32"/>
          <w:highlight w:val="none"/>
          <w:lang w:val="en-US" w:eastAsia="zh-CN" w:bidi="ar-SA"/>
        </w:rPr>
        <w:t>）设置符合要求的车辆冲洗设施，配置专职保洁员；设置排水设施和沉淀设施，防止泥浆、污水、废水外流；冲洗车辆的污水未经净化处理不得直接排入市政雨水、污水管网，禁止将净化处理前后的污水直接排放到路面；沉淀设施的污泥、泥浆应定期清理；（</w:t>
      </w:r>
      <w:r>
        <w:rPr>
          <w:rFonts w:hint="eastAsia" w:ascii="仿宋" w:hAnsi="仿宋" w:cs="仿宋"/>
          <w:color w:val="auto"/>
          <w:spacing w:val="0"/>
          <w:kern w:val="2"/>
          <w:sz w:val="32"/>
          <w:szCs w:val="32"/>
          <w:highlight w:val="none"/>
          <w:lang w:val="en-US" w:eastAsia="zh-CN" w:bidi="ar-SA"/>
        </w:rPr>
        <w:t>6</w:t>
      </w:r>
      <w:r>
        <w:rPr>
          <w:rFonts w:hint="eastAsia" w:ascii="仿宋" w:hAnsi="仿宋" w:eastAsia="仿宋" w:cs="仿宋"/>
          <w:color w:val="auto"/>
          <w:spacing w:val="0"/>
          <w:kern w:val="2"/>
          <w:sz w:val="32"/>
          <w:szCs w:val="32"/>
          <w:highlight w:val="none"/>
          <w:lang w:val="en-US" w:eastAsia="zh-CN" w:bidi="ar-SA"/>
        </w:rPr>
        <w:t>）定期对施工现场洒水降尘，对裸露泥土及建筑垃圾采取覆盖措施；（</w:t>
      </w:r>
      <w:r>
        <w:rPr>
          <w:rFonts w:hint="eastAsia" w:ascii="仿宋" w:hAnsi="仿宋" w:cs="仿宋"/>
          <w:color w:val="auto"/>
          <w:spacing w:val="0"/>
          <w:kern w:val="2"/>
          <w:sz w:val="32"/>
          <w:szCs w:val="32"/>
          <w:highlight w:val="none"/>
          <w:lang w:val="en-US" w:eastAsia="zh-CN" w:bidi="ar-SA"/>
        </w:rPr>
        <w:t>7</w:t>
      </w:r>
      <w:r>
        <w:rPr>
          <w:rFonts w:hint="eastAsia" w:ascii="仿宋" w:hAnsi="仿宋" w:eastAsia="仿宋" w:cs="仿宋"/>
          <w:color w:val="auto"/>
          <w:spacing w:val="0"/>
          <w:kern w:val="2"/>
          <w:sz w:val="32"/>
          <w:szCs w:val="32"/>
          <w:highlight w:val="none"/>
          <w:lang w:val="en-US" w:eastAsia="zh-CN" w:bidi="ar-SA"/>
        </w:rPr>
        <w:t>）市政工程及零星工程施工过程中产生的建筑垃圾应每日清理。雨水天气及大风天气应采取措施防止污水污染路面和扬尘污染；（</w:t>
      </w:r>
      <w:r>
        <w:rPr>
          <w:rFonts w:hint="eastAsia" w:ascii="仿宋" w:hAnsi="仿宋" w:cs="仿宋"/>
          <w:color w:val="auto"/>
          <w:spacing w:val="0"/>
          <w:kern w:val="2"/>
          <w:sz w:val="32"/>
          <w:szCs w:val="32"/>
          <w:highlight w:val="none"/>
          <w:lang w:val="en-US" w:eastAsia="zh-CN" w:bidi="ar-SA"/>
        </w:rPr>
        <w:t>8</w:t>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sz w:val="32"/>
          <w:szCs w:val="32"/>
          <w:highlight w:val="none"/>
          <w:lang w:val="en-US" w:eastAsia="zh-CN"/>
        </w:rPr>
        <w:t>禁止在道路、桥梁、公共场地、公共绿地、供排水设施、农田水利设施、江河、湖泊、运河、渠道、水库及其最高水位线以下的滩地和岸坡等地点以及其他非指定场地倾倒、抛撒、堆放建筑垃圾；（</w:t>
      </w:r>
      <w:r>
        <w:rPr>
          <w:rFonts w:hint="eastAsia" w:ascii="仿宋" w:hAnsi="仿宋" w:cs="仿宋"/>
          <w:color w:val="auto"/>
          <w:spacing w:val="0"/>
          <w:sz w:val="32"/>
          <w:szCs w:val="32"/>
          <w:highlight w:val="none"/>
          <w:lang w:val="en-US" w:eastAsia="zh-CN"/>
        </w:rPr>
        <w:t>9</w:t>
      </w:r>
      <w:r>
        <w:rPr>
          <w:rFonts w:hint="eastAsia" w:ascii="仿宋" w:hAnsi="仿宋" w:eastAsia="仿宋" w:cs="仿宋"/>
          <w:color w:val="auto"/>
          <w:spacing w:val="0"/>
          <w:sz w:val="32"/>
          <w:szCs w:val="32"/>
          <w:highlight w:val="none"/>
          <w:lang w:val="en-US" w:eastAsia="zh-CN"/>
        </w:rPr>
        <w:t>）禁止将生活垃圾、工业垃圾、污泥、淤泥、危险废物等与建筑垃圾混合。</w:t>
      </w:r>
    </w:p>
    <w:p w14:paraId="3ABC32FA">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27" w:name="_Toc2766"/>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陆路运输核准及污染防治措施要求</w:t>
      </w:r>
      <w:bookmarkEnd w:id="27"/>
    </w:p>
    <w:p w14:paraId="4D0A8D45">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1.陆路运输环节核准要求</w:t>
      </w:r>
    </w:p>
    <w:p w14:paraId="122267F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bidi="ar-SA"/>
        </w:rPr>
        <w:t>建筑垃圾运输环节核准相关工作应符合</w:t>
      </w:r>
      <w:r>
        <w:rPr>
          <w:rFonts w:hint="eastAsia" w:ascii="仿宋" w:hAnsi="仿宋" w:eastAsia="仿宋" w:cs="仿宋"/>
          <w:color w:val="auto"/>
          <w:spacing w:val="0"/>
          <w:sz w:val="32"/>
          <w:szCs w:val="32"/>
          <w:highlight w:val="none"/>
          <w:lang w:eastAsia="zh-CN"/>
        </w:rPr>
        <w:t>《城市建筑垃圾管理规定》</w:t>
      </w:r>
      <w:r>
        <w:rPr>
          <w:rFonts w:hint="eastAsia" w:ascii="仿宋" w:hAnsi="仿宋" w:eastAsia="仿宋" w:cs="仿宋"/>
          <w:color w:val="auto"/>
          <w:spacing w:val="0"/>
          <w:sz w:val="32"/>
          <w:szCs w:val="32"/>
          <w:highlight w:val="none"/>
        </w:rPr>
        <w:t>《广东省建筑垃圾管理条例》</w:t>
      </w:r>
      <w:r>
        <w:rPr>
          <w:rFonts w:hint="eastAsia" w:ascii="仿宋" w:hAnsi="仿宋" w:eastAsia="仿宋" w:cs="仿宋"/>
          <w:color w:val="auto"/>
          <w:spacing w:val="0"/>
          <w:sz w:val="32"/>
          <w:szCs w:val="32"/>
          <w:highlight w:val="none"/>
          <w:lang w:eastAsia="zh-CN"/>
        </w:rPr>
        <w:t>等</w:t>
      </w:r>
      <w:r>
        <w:rPr>
          <w:rFonts w:hint="eastAsia" w:ascii="仿宋" w:hAnsi="仿宋" w:eastAsia="仿宋" w:cs="仿宋"/>
          <w:color w:val="auto"/>
          <w:spacing w:val="0"/>
          <w:kern w:val="2"/>
          <w:sz w:val="32"/>
          <w:szCs w:val="32"/>
          <w:highlight w:val="none"/>
          <w:lang w:val="en-US" w:eastAsia="zh-CN" w:bidi="ar-SA"/>
        </w:rPr>
        <w:t>规定。陆路运输建筑垃圾的单位应当依法向建筑垃圾主管部门申请办理《清远市建筑垃圾处置证（运输）》</w:t>
      </w:r>
      <w:r>
        <w:rPr>
          <w:rFonts w:hint="eastAsia" w:ascii="仿宋" w:hAnsi="仿宋" w:eastAsia="仿宋" w:cs="仿宋"/>
          <w:color w:val="auto"/>
          <w:spacing w:val="0"/>
          <w:sz w:val="32"/>
          <w:szCs w:val="32"/>
          <w:highlight w:val="none"/>
          <w:lang w:val="en-US" w:eastAsia="zh-CN"/>
        </w:rPr>
        <w:t>。</w:t>
      </w:r>
    </w:p>
    <w:p w14:paraId="3DBFEA7E">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2.陆路运输污染防治要求</w:t>
      </w:r>
    </w:p>
    <w:p w14:paraId="05AEA6D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建筑垃圾运输单位应当遵守下列规定：（1）建立建筑垃圾运输管理台账；（2）不得将工程渣土、工程泥浆与其他建筑垃圾混合运输；（3）保持运输车辆、船舶等运输工具的行驶记录、卫星定位等电子装置正常使用；（4）运输过程中保持运输工具整洁，采取密闭或者其他有效措施防止遗撒建筑垃圾，不得擅自倾倒、抛撒建筑垃圾；（5）按照建筑垃圾处理方案确定的时间、路线、方式、场所进行运输。</w:t>
      </w:r>
    </w:p>
    <w:p w14:paraId="7A5C3B7B">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28" w:name="_Toc7424"/>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水路运输核准及污染防治措施要求</w:t>
      </w:r>
      <w:bookmarkEnd w:id="28"/>
    </w:p>
    <w:p w14:paraId="13444536">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建筑垃圾水上运输由交通运输、航道等部门依法管理，海事部门依法对建筑垃圾水上运输安全进行监督。</w:t>
      </w:r>
    </w:p>
    <w:p w14:paraId="2CC07B9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w:t>
      </w:r>
      <w:r>
        <w:rPr>
          <w:rFonts w:hint="eastAsia" w:ascii="仿宋" w:hAnsi="仿宋" w:cs="仿宋"/>
          <w:color w:val="auto"/>
          <w:spacing w:val="0"/>
          <w:sz w:val="32"/>
          <w:szCs w:val="32"/>
          <w:highlight w:val="none"/>
          <w:lang w:val="en-US" w:eastAsia="zh-CN"/>
        </w:rPr>
        <w:t>垃圾</w:t>
      </w:r>
      <w:r>
        <w:rPr>
          <w:rFonts w:hint="eastAsia" w:ascii="仿宋" w:hAnsi="仿宋" w:eastAsia="仿宋" w:cs="仿宋"/>
          <w:color w:val="auto"/>
          <w:spacing w:val="0"/>
          <w:sz w:val="32"/>
          <w:szCs w:val="32"/>
          <w:highlight w:val="none"/>
          <w:lang w:val="en-US" w:eastAsia="zh-CN"/>
        </w:rPr>
        <w:t>运输船舶应当符合载运技术条件。建筑垃圾处置场所为陆域的，不得采用开底式船舶运输建筑垃圾。运输单位应建立建筑垃圾运输管理台账。运输船舶应当</w:t>
      </w:r>
      <w:r>
        <w:rPr>
          <w:rFonts w:hint="eastAsia" w:ascii="仿宋" w:hAnsi="仿宋" w:cs="仿宋"/>
          <w:color w:val="auto"/>
          <w:spacing w:val="0"/>
          <w:sz w:val="32"/>
          <w:szCs w:val="32"/>
          <w:highlight w:val="none"/>
          <w:lang w:val="en-US" w:eastAsia="zh-CN"/>
        </w:rPr>
        <w:t>前往</w:t>
      </w:r>
      <w:r>
        <w:rPr>
          <w:rFonts w:hint="eastAsia" w:ascii="仿宋" w:hAnsi="仿宋" w:eastAsia="仿宋" w:cs="仿宋"/>
          <w:color w:val="auto"/>
          <w:spacing w:val="0"/>
          <w:sz w:val="32"/>
          <w:szCs w:val="32"/>
          <w:highlight w:val="none"/>
          <w:lang w:val="en-US" w:eastAsia="zh-CN"/>
        </w:rPr>
        <w:t>具备合法手续的建筑垃圾倾倒区或者消纳点卸载，不得沿途泄漏、遗撒、倾倒建筑</w:t>
      </w:r>
      <w:r>
        <w:rPr>
          <w:rFonts w:hint="eastAsia" w:ascii="仿宋" w:hAnsi="仿宋" w:cs="仿宋"/>
          <w:color w:val="auto"/>
          <w:spacing w:val="0"/>
          <w:sz w:val="32"/>
          <w:szCs w:val="32"/>
          <w:highlight w:val="none"/>
          <w:lang w:val="en-US" w:eastAsia="zh-CN"/>
        </w:rPr>
        <w:t>垃圾</w:t>
      </w:r>
      <w:r>
        <w:rPr>
          <w:rFonts w:hint="eastAsia" w:ascii="仿宋" w:hAnsi="仿宋" w:eastAsia="仿宋" w:cs="仿宋"/>
          <w:color w:val="auto"/>
          <w:spacing w:val="0"/>
          <w:sz w:val="32"/>
          <w:szCs w:val="32"/>
          <w:highlight w:val="none"/>
          <w:lang w:val="en-US" w:eastAsia="zh-CN"/>
        </w:rPr>
        <w:t>。</w:t>
      </w:r>
    </w:p>
    <w:p w14:paraId="434ED103">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29" w:name="_Toc4799"/>
      <w:r>
        <w:rPr>
          <w:rFonts w:hint="eastAsia" w:ascii="仿宋" w:hAnsi="仿宋" w:eastAsia="方正楷体_GB2312" w:cs="仿宋"/>
          <w:b/>
          <w:bCs w:val="0"/>
          <w:color w:val="auto"/>
          <w:spacing w:val="0"/>
          <w:kern w:val="2"/>
          <w:sz w:val="32"/>
          <w:szCs w:val="32"/>
          <w:lang w:val="en-US" w:eastAsia="zh-CN" w:bidi="ar-SA"/>
        </w:rPr>
        <w:t>（六）</w:t>
      </w:r>
      <w:r>
        <w:rPr>
          <w:rFonts w:hint="eastAsia" w:ascii="仿宋" w:hAnsi="仿宋" w:eastAsia="仿宋" w:cs="仿宋"/>
          <w:b/>
          <w:bCs w:val="0"/>
          <w:color w:val="auto"/>
          <w:spacing w:val="0"/>
          <w:kern w:val="2"/>
          <w:sz w:val="32"/>
          <w:szCs w:val="32"/>
          <w:highlight w:val="none"/>
          <w:lang w:val="en-US" w:eastAsia="zh-CN" w:bidi="ar-SA"/>
        </w:rPr>
        <w:t>综合利用和消纳核准及污染防治措施要求</w:t>
      </w:r>
      <w:bookmarkEnd w:id="29"/>
    </w:p>
    <w:p w14:paraId="728B93F3">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1.综合利用和消纳环节核准要求</w:t>
      </w:r>
    </w:p>
    <w:p w14:paraId="1B1FA70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kern w:val="2"/>
          <w:sz w:val="32"/>
          <w:szCs w:val="32"/>
          <w:highlight w:val="none"/>
          <w:lang w:val="en-US" w:eastAsia="zh-CN" w:bidi="ar-SA"/>
        </w:rPr>
        <w:t>建筑垃圾综合利用、消纳核准相关工作应符合</w:t>
      </w:r>
      <w:r>
        <w:rPr>
          <w:rFonts w:hint="eastAsia" w:ascii="仿宋" w:hAnsi="仿宋" w:eastAsia="仿宋" w:cs="仿宋"/>
          <w:color w:val="auto"/>
          <w:spacing w:val="0"/>
          <w:sz w:val="32"/>
          <w:szCs w:val="32"/>
          <w:highlight w:val="none"/>
          <w:lang w:eastAsia="zh-CN"/>
        </w:rPr>
        <w:t>《城市建筑垃圾管理规定》</w:t>
      </w:r>
      <w:r>
        <w:rPr>
          <w:rFonts w:hint="eastAsia" w:ascii="仿宋" w:hAnsi="仿宋" w:eastAsia="仿宋" w:cs="仿宋"/>
          <w:color w:val="auto"/>
          <w:spacing w:val="0"/>
          <w:sz w:val="32"/>
          <w:szCs w:val="32"/>
          <w:highlight w:val="none"/>
        </w:rPr>
        <w:t>《广东省建筑垃圾管理条例》</w:t>
      </w:r>
      <w:r>
        <w:rPr>
          <w:rFonts w:hint="eastAsia" w:ascii="仿宋" w:hAnsi="仿宋" w:eastAsia="仿宋" w:cs="仿宋"/>
          <w:color w:val="auto"/>
          <w:spacing w:val="0"/>
          <w:sz w:val="32"/>
          <w:szCs w:val="32"/>
          <w:highlight w:val="none"/>
          <w:lang w:eastAsia="zh-CN"/>
        </w:rPr>
        <w:t>等</w:t>
      </w:r>
      <w:r>
        <w:rPr>
          <w:rFonts w:hint="eastAsia" w:ascii="仿宋" w:hAnsi="仿宋" w:eastAsia="仿宋" w:cs="仿宋"/>
          <w:color w:val="auto"/>
          <w:spacing w:val="0"/>
          <w:kern w:val="2"/>
          <w:sz w:val="32"/>
          <w:szCs w:val="32"/>
          <w:highlight w:val="none"/>
          <w:lang w:val="en-US" w:eastAsia="zh-CN" w:bidi="ar-SA"/>
        </w:rPr>
        <w:t>规定。设立建筑垃圾综合利用场所（包括资源化利用项目、回填工地等）、消纳场（含临时）的单位应当向建筑垃圾主管部门申请核发《</w:t>
      </w:r>
      <w:r>
        <w:rPr>
          <w:rFonts w:hint="eastAsia" w:ascii="仿宋" w:hAnsi="仿宋" w:cs="仿宋"/>
          <w:color w:val="auto"/>
          <w:spacing w:val="0"/>
          <w:kern w:val="2"/>
          <w:sz w:val="32"/>
          <w:szCs w:val="32"/>
          <w:highlight w:val="none"/>
          <w:lang w:val="en-US" w:eastAsia="zh-CN" w:bidi="ar-SA"/>
        </w:rPr>
        <w:t>城市建筑垃圾处置受纳证</w:t>
      </w:r>
      <w:r>
        <w:rPr>
          <w:rFonts w:hint="eastAsia" w:ascii="仿宋" w:hAnsi="仿宋" w:eastAsia="仿宋" w:cs="仿宋"/>
          <w:color w:val="auto"/>
          <w:spacing w:val="0"/>
          <w:kern w:val="2"/>
          <w:sz w:val="32"/>
          <w:szCs w:val="32"/>
          <w:highlight w:val="none"/>
          <w:lang w:val="en-US" w:eastAsia="zh-CN" w:bidi="ar-SA"/>
        </w:rPr>
        <w:t>》</w:t>
      </w:r>
      <w:r>
        <w:rPr>
          <w:rFonts w:hint="eastAsia" w:ascii="仿宋" w:hAnsi="仿宋" w:eastAsia="仿宋" w:cs="仿宋"/>
          <w:color w:val="auto"/>
          <w:spacing w:val="0"/>
          <w:sz w:val="32"/>
          <w:szCs w:val="32"/>
          <w:highlight w:val="none"/>
          <w:lang w:val="en-US" w:eastAsia="zh-CN"/>
        </w:rPr>
        <w:t>。</w:t>
      </w:r>
    </w:p>
    <w:p w14:paraId="6BBB55CE">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2.综合利用和消纳环节污染防治要求</w:t>
      </w:r>
    </w:p>
    <w:p w14:paraId="502FF4A6">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消纳场应当遵守下列规定：（1）消纳场应设置有效的污水、扬尘、噪声、臭气等污染防治设施设备；（2）消纳场四周应设置围蔽设施，配备降尘所需的洒水车、雾炮车（机）等设施；（3）消纳场出入口应设置长度适宜的车辆冲洗设备设施，实施运输车辆全面冲洗，并合理设置冲洗废水收集系统；（4）消纳场堆填过程应当按设计要求严格控制作业面，避免大面积裸露带来水土流失和扬尘，建设临时拦挡、排水、沉沙、覆盖设施，防止水土流失；（5）对暂时无法复绿的区域，应当及时覆盖土工布、防尘布或土工膜；（6）建筑垃圾消纳场应建立完善的环境保护管理制度，包括设置环境保护宣传展板、定期对作业人员进行培训、定期维护环境保护设备与设施、建立环境保护应急预案等；（7）消纳场应根据环保要求开展环境监测；（8）消纳场应进行雨污分流，严禁未经处理的各类污水直接排放至自然水体或排水管网。消纳场污水处理工艺应根据污水的水质特性、产生量和达到的排放标准等因素，通过多种方案技术经济比较进行选择。</w:t>
      </w:r>
    </w:p>
    <w:p w14:paraId="32D3E87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应遵守下列规定：（1）建筑垃圾</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应设置有效的污水、扬尘、噪声、臭气等污染防治设施设备；（2）物料输送设备与设施必须采用全封闭设计，进料端及出料端必须设置收尘及降尘装置；（3）无组织排放的扬尘场所应采取喷雾、洒水、围挡等防尘措施；（4）易产生扬尘的工序应配置收尘系统与降尘设施，粉尘排放指标应满足环保要求；（5）工厂的厂界、车间、设备应采取声源降噪、传播途径降噪和人员防护相结合的降噪措施；（6）破碎筛分车间、粉磨车间及罗茨风机房、压缩空气站等建筑物，应减小外墙上门、窗面积，外墙围护结构应具有隔声能力；（7）设备降噪设计应进行设备基础减振处理；（8）厂区宜采用绿化降噪；（9）建筑垃圾</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应根据环保要求开展环境监测；（10）建筑垃圾</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应进行雨污分流，严禁未经处理的各类污水直接排放至自然水体或排水管网。厂区污水处理工艺应根据污水的水质特性、产生量和达到的排放标准等因素，通过多种方案技术经济比较进行选择。（11）场内临时堆放区等应参照消纳场相关规定。（12）综合利用过程中分选分离出的轻物质应收集后运往垃圾焚烧厂或其他具有相应资质的处理企业进行处理；综合利用产生的尾泥等无法综合利用的建筑废弃物，应根据其对市容及环境卫生的影响作相应无害化处置或暂存处理；相关轻物质、尾泥等不得随意丢弃或排放，应参照建筑垃圾联单管理机制，做到来源可溯、去向可追、责任可究。</w:t>
      </w:r>
    </w:p>
    <w:p w14:paraId="570875AE">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30" w:name="_Toc19187"/>
      <w:r>
        <w:rPr>
          <w:rFonts w:hint="eastAsia" w:ascii="仿宋" w:hAnsi="仿宋" w:eastAsia="方正楷体_GB2312" w:cs="仿宋"/>
          <w:b/>
          <w:bCs w:val="0"/>
          <w:color w:val="auto"/>
          <w:spacing w:val="0"/>
          <w:kern w:val="2"/>
          <w:sz w:val="32"/>
          <w:szCs w:val="32"/>
          <w:lang w:val="en-US" w:eastAsia="zh-CN" w:bidi="ar-SA"/>
        </w:rPr>
        <w:t>（七）</w:t>
      </w:r>
      <w:r>
        <w:rPr>
          <w:rFonts w:hint="eastAsia" w:ascii="仿宋" w:hAnsi="仿宋" w:eastAsia="仿宋" w:cs="仿宋"/>
          <w:b/>
          <w:bCs w:val="0"/>
          <w:color w:val="auto"/>
          <w:spacing w:val="0"/>
          <w:kern w:val="2"/>
          <w:sz w:val="32"/>
          <w:szCs w:val="32"/>
          <w:highlight w:val="none"/>
          <w:lang w:val="en-US" w:eastAsia="zh-CN" w:bidi="ar-SA"/>
        </w:rPr>
        <w:t>联单管理要求</w:t>
      </w:r>
      <w:bookmarkEnd w:id="30"/>
    </w:p>
    <w:p w14:paraId="7E3CE0A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cs="仿宋"/>
          <w:color w:val="auto"/>
          <w:spacing w:val="0"/>
          <w:sz w:val="32"/>
          <w:szCs w:val="32"/>
          <w:highlight w:val="none"/>
          <w:lang w:val="en-US" w:eastAsia="zh-CN"/>
        </w:rPr>
        <w:t>清城区</w:t>
      </w:r>
      <w:r>
        <w:rPr>
          <w:rFonts w:hint="eastAsia" w:ascii="仿宋" w:hAnsi="仿宋" w:eastAsia="仿宋" w:cs="仿宋"/>
          <w:color w:val="auto"/>
          <w:spacing w:val="0"/>
          <w:sz w:val="32"/>
          <w:szCs w:val="32"/>
          <w:highlight w:val="none"/>
          <w:lang w:val="en-US" w:eastAsia="zh-CN"/>
        </w:rPr>
        <w:t>实行建筑垃圾产生、收集、贮存、运输、利用、处置联单管理制度，利用信息化手段推行电子联单管理，实现建筑垃圾种类、数量和流向等情况可追溯、可查询。</w:t>
      </w:r>
    </w:p>
    <w:p w14:paraId="1DFB53E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转移活动及其各环节的监督管理工作应符合《广东省建筑垃圾转移联单管理办法》等规定。建筑垃圾排放、运输、处置单位应在省建筑垃圾跨区域平衡处置协作监管平台或我市建筑垃圾智慧综合管理系统运行相关联单。</w:t>
      </w:r>
    </w:p>
    <w:p w14:paraId="18632B4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转移联单内容包括排放单位、排放工地、建筑垃圾类别及数量、运输单位、运输工具、驾驶员、行驶路线、运输时间、消纳单位、消纳方式和排放、运输、消纳核准等信息，自运输车辆离开排放单位时开始运转，到达预定消纳单位时结束。排放单位、运输单位和消纳单位应分别指定工作人员在各自负责环节进行联单信息核对、确认，各联单确认人是联单管理的直接责任人。</w:t>
      </w:r>
    </w:p>
    <w:p w14:paraId="7D6CF34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cs="仿宋"/>
          <w:color w:val="auto"/>
          <w:spacing w:val="0"/>
          <w:sz w:val="32"/>
          <w:szCs w:val="32"/>
          <w:highlight w:val="none"/>
          <w:lang w:val="en-US" w:eastAsia="zh-CN"/>
        </w:rPr>
        <w:t>清城区</w:t>
      </w:r>
      <w:r>
        <w:rPr>
          <w:rFonts w:hint="eastAsia" w:ascii="仿宋" w:hAnsi="仿宋" w:eastAsia="仿宋" w:cs="仿宋"/>
          <w:color w:val="auto"/>
          <w:spacing w:val="0"/>
          <w:sz w:val="32"/>
          <w:szCs w:val="32"/>
          <w:highlight w:val="none"/>
          <w:lang w:val="en-US" w:eastAsia="zh-CN"/>
        </w:rPr>
        <w:t>建筑垃圾主管部门负责行政区域范围内建筑垃圾转移联单运行的指导工作。清城区</w:t>
      </w:r>
      <w:r>
        <w:rPr>
          <w:rFonts w:hint="eastAsia" w:ascii="仿宋" w:hAnsi="仿宋" w:cs="仿宋"/>
          <w:color w:val="auto"/>
          <w:spacing w:val="0"/>
          <w:sz w:val="32"/>
          <w:szCs w:val="32"/>
          <w:highlight w:val="none"/>
          <w:lang w:val="en-US" w:eastAsia="zh-CN"/>
        </w:rPr>
        <w:t>其他相</w:t>
      </w:r>
      <w:r>
        <w:rPr>
          <w:rFonts w:hint="eastAsia" w:ascii="仿宋" w:hAnsi="仿宋" w:eastAsia="仿宋" w:cs="仿宋"/>
          <w:color w:val="auto"/>
          <w:spacing w:val="0"/>
          <w:sz w:val="32"/>
          <w:szCs w:val="32"/>
          <w:highlight w:val="none"/>
          <w:lang w:val="en-US" w:eastAsia="zh-CN"/>
        </w:rPr>
        <w:t>关部门依据各自职责做好建筑垃圾转移活动各环节的监督管理工作，共同落实建筑垃圾转移联单制度。</w:t>
      </w:r>
    </w:p>
    <w:p w14:paraId="599B41C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探索卸点付费工作机制。结合联单信息建立建筑垃圾处置卸点付费机制，并实现资金流向监督，排放单位根据完成的联单信息，向运输单位、消纳单位等支付建筑垃圾处置费用。</w:t>
      </w:r>
    </w:p>
    <w:p w14:paraId="1780D830">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31" w:name="_Toc15025"/>
      <w:r>
        <w:rPr>
          <w:rFonts w:hint="eastAsia" w:ascii="仿宋" w:hAnsi="仿宋" w:eastAsia="方正楷体_GB2312" w:cs="仿宋"/>
          <w:b/>
          <w:bCs w:val="0"/>
          <w:color w:val="auto"/>
          <w:spacing w:val="0"/>
          <w:kern w:val="2"/>
          <w:sz w:val="32"/>
          <w:szCs w:val="32"/>
          <w:lang w:val="en-US" w:eastAsia="zh-CN" w:bidi="ar-SA"/>
        </w:rPr>
        <w:t>（八）</w:t>
      </w:r>
      <w:r>
        <w:rPr>
          <w:rFonts w:hint="eastAsia" w:ascii="仿宋" w:hAnsi="仿宋" w:eastAsia="仿宋" w:cs="仿宋"/>
          <w:b/>
          <w:bCs w:val="0"/>
          <w:color w:val="auto"/>
          <w:spacing w:val="0"/>
          <w:kern w:val="2"/>
          <w:sz w:val="32"/>
          <w:szCs w:val="32"/>
          <w:highlight w:val="none"/>
          <w:lang w:val="en-US" w:eastAsia="zh-CN" w:bidi="ar-SA"/>
        </w:rPr>
        <w:t>安全风险防控工作要求</w:t>
      </w:r>
      <w:bookmarkEnd w:id="31"/>
    </w:p>
    <w:p w14:paraId="62E7146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安全风险防控相关工作应符合《中华人民共和国固体废物污染环境防治法》《广东省建筑垃圾管理条例》等规定，根据国务院安委办对我省特别重大生产安全事故整改“回头看”和中央环保督察有关要求，要进一步加强建筑垃圾全流程管理，建筑垃圾主管部门定期组织开展建筑垃圾安全生产排查整治工作，抽查建筑垃圾排放、运输、消纳和资源化利用设施的安全运营管理情况，制定问题台账，及时整改，并持续跟踪。应参照《广东省安全生产领域风险点危险源排查管控工作指南》要求做好安全风险评估及风险防范措施。</w:t>
      </w:r>
    </w:p>
    <w:p w14:paraId="50FA5E8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各类建筑垃圾处置设施的安全事故预防控制应符合以下要求：（1）从事建筑垃圾收集、运输、处理的单位应对作业人员进行劳动安全卫生保护专业培训；（2）建筑垃圾处理工程应按规定配置作业机械、劳动工具与职业病防护用品；（3）应在建筑垃圾处理工程现场设置劳动防护用品贮存室，定期盘库，及时补充；定期对使用过的劳动防护用品进行清洗和消毒：及时更换有破损的劳动防护用品；（4）建筑垃圾处理工程应设道路行车指示、安全标志及环境卫生设施设置标志。（5）建筑垃圾堆放、堆填、填埋处置高度和边坡应符合安全稳定要求；（6）作业过程的安全卫生管理应符合现行国家标准《生产过程安全卫生要求总则》（GB/T 12801）的有关规定，并应结合作业特点采取有利于职业病防治和保护作业人员健康的措施；（7）建筑垃圾收集、运输、处理系统的环境保护与安全卫生除满足以上规定外，尚应符合国家现行相关标准的规定。</w:t>
      </w:r>
    </w:p>
    <w:p w14:paraId="4FC5F20A">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32" w:name="_Toc13396"/>
      <w:r>
        <w:rPr>
          <w:rFonts w:hint="eastAsia" w:ascii="仿宋" w:hAnsi="仿宋" w:eastAsia="方正楷体_GB2312" w:cs="仿宋"/>
          <w:b/>
          <w:bCs w:val="0"/>
          <w:color w:val="auto"/>
          <w:spacing w:val="0"/>
          <w:kern w:val="2"/>
          <w:sz w:val="32"/>
          <w:szCs w:val="32"/>
          <w:lang w:val="en-US" w:eastAsia="zh-CN" w:bidi="ar-SA"/>
        </w:rPr>
        <w:t>（九）</w:t>
      </w:r>
      <w:r>
        <w:rPr>
          <w:rFonts w:hint="eastAsia" w:ascii="仿宋" w:hAnsi="仿宋" w:eastAsia="仿宋" w:cs="仿宋"/>
          <w:b/>
          <w:bCs w:val="0"/>
          <w:color w:val="auto"/>
          <w:spacing w:val="0"/>
          <w:kern w:val="2"/>
          <w:sz w:val="32"/>
          <w:szCs w:val="32"/>
          <w:highlight w:val="none"/>
          <w:lang w:val="en-US" w:eastAsia="zh-CN" w:bidi="ar-SA"/>
        </w:rPr>
        <w:t>设施环境影响评价及环境监测工作要求</w:t>
      </w:r>
      <w:bookmarkEnd w:id="32"/>
    </w:p>
    <w:p w14:paraId="40231FDF">
      <w:pPr>
        <w:widowControl/>
        <w:overflowPunct w:val="0"/>
        <w:adjustRightInd/>
        <w:snapToGrid/>
        <w:spacing w:line="600" w:lineRule="exact"/>
        <w:ind w:firstLine="643" w:firstLineChars="200"/>
        <w:jc w:val="both"/>
        <w:rPr>
          <w:rFonts w:hint="eastAsia" w:ascii="仿宋" w:hAnsi="仿宋" w:eastAsia="仿宋" w:cs="仿宋"/>
          <w:color w:val="auto"/>
          <w:highlight w:val="none"/>
        </w:rPr>
      </w:pPr>
      <w:r>
        <w:rPr>
          <w:rFonts w:hint="eastAsia" w:ascii="仿宋" w:hAnsi="仿宋" w:eastAsia="仿宋" w:cs="仿宋"/>
          <w:b/>
          <w:bCs/>
          <w:i w:val="0"/>
          <w:iCs w:val="0"/>
          <w:color w:val="auto"/>
          <w:spacing w:val="0"/>
          <w:kern w:val="2"/>
          <w:sz w:val="32"/>
          <w:szCs w:val="32"/>
          <w:highlight w:val="none"/>
          <w:vertAlign w:val="baseline"/>
          <w:lang w:val="en-US" w:eastAsia="zh-CN" w:bidi="ar-SA"/>
        </w:rPr>
        <w:t>1.设施环评要求</w:t>
      </w:r>
    </w:p>
    <w:p w14:paraId="4F4277D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处理处置相关设施建设项目应当依法进行环境影响评价，并遵守国家有关建设项目环境保护管理的规定。建设单位应当对建设项目环境影响报告书、环境影响报告表的内容和结论负责，接受委托编制建设项目环境影响报告书、环境影响报告表的技术单位对其编制的建设项目环境影响报告书、环境影响报告表承担相应责任。生态环境部门应当加强对建设项目环境影响报告书、环境影响报告表编制单位的监督管理和质量考核。</w:t>
      </w:r>
    </w:p>
    <w:p w14:paraId="6B0240DA">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按照《广东省豁免环境影响评价手续办理的建设项目名录（2020年版）》相关内容，如废旧资源加工及再生利用仅分拣或破碎的，及其他属于豁免名录的建设项目，可依法豁免相关环评手续。</w:t>
      </w:r>
    </w:p>
    <w:p w14:paraId="5695AD39">
      <w:pPr>
        <w:widowControl/>
        <w:overflowPunct w:val="0"/>
        <w:adjustRightInd/>
        <w:snapToGrid/>
        <w:spacing w:line="600" w:lineRule="exact"/>
        <w:ind w:firstLine="643" w:firstLineChars="200"/>
        <w:jc w:val="both"/>
        <w:rPr>
          <w:rFonts w:hint="eastAsia" w:ascii="仿宋" w:hAnsi="仿宋" w:eastAsia="仿宋" w:cs="仿宋"/>
          <w:color w:val="auto"/>
          <w:highlight w:val="none"/>
        </w:rPr>
      </w:pPr>
      <w:r>
        <w:rPr>
          <w:rFonts w:hint="eastAsia" w:ascii="仿宋" w:hAnsi="仿宋" w:eastAsia="仿宋" w:cs="仿宋"/>
          <w:b/>
          <w:bCs/>
          <w:i w:val="0"/>
          <w:iCs w:val="0"/>
          <w:color w:val="auto"/>
          <w:spacing w:val="0"/>
          <w:kern w:val="2"/>
          <w:sz w:val="32"/>
          <w:szCs w:val="32"/>
          <w:highlight w:val="none"/>
          <w:vertAlign w:val="baseline"/>
          <w:lang w:val="en-US" w:eastAsia="zh-CN" w:bidi="ar-SA"/>
        </w:rPr>
        <w:t>2.设施环境监测要求</w:t>
      </w:r>
    </w:p>
    <w:p w14:paraId="7FF2A580">
      <w:pPr>
        <w:widowControl/>
        <w:overflowPunct w:val="0"/>
        <w:adjustRightInd/>
        <w:snapToGrid/>
        <w:spacing w:line="600" w:lineRule="exact"/>
        <w:ind w:firstLine="640" w:firstLineChars="200"/>
        <w:jc w:val="both"/>
        <w:rPr>
          <w:rFonts w:hint="eastAsia" w:ascii="仿宋" w:hAnsi="仿宋" w:eastAsia="仿宋" w:cs="仿宋"/>
          <w:color w:val="auto"/>
          <w:highlight w:val="none"/>
        </w:rPr>
      </w:pPr>
      <w:r>
        <w:rPr>
          <w:rFonts w:hint="eastAsia" w:ascii="仿宋" w:hAnsi="仿宋" w:eastAsia="仿宋" w:cs="仿宋"/>
          <w:color w:val="auto"/>
          <w:spacing w:val="0"/>
          <w:sz w:val="32"/>
          <w:szCs w:val="32"/>
          <w:highlight w:val="none"/>
          <w:lang w:val="en-US" w:eastAsia="zh-CN"/>
        </w:rPr>
        <w:t>建筑垃圾处理处置相关设施环境监测工作应符合《建筑垃圾处理技术标准》（CJJ/T 134</w:t>
      </w:r>
      <w:r>
        <w:rPr>
          <w:rFonts w:hint="eastAsia" w:ascii="仿宋" w:hAnsi="仿宋" w:cs="仿宋"/>
          <w:color w:val="auto"/>
          <w:spacing w:val="0"/>
          <w:sz w:val="32"/>
          <w:szCs w:val="32"/>
          <w:highlight w:val="none"/>
          <w:lang w:val="en-US" w:eastAsia="zh-CN"/>
        </w:rPr>
        <w:t>-2019</w:t>
      </w:r>
      <w:r>
        <w:rPr>
          <w:rFonts w:hint="eastAsia" w:ascii="仿宋" w:hAnsi="仿宋" w:eastAsia="仿宋" w:cs="仿宋"/>
          <w:color w:val="auto"/>
          <w:spacing w:val="0"/>
          <w:sz w:val="32"/>
          <w:szCs w:val="32"/>
          <w:highlight w:val="none"/>
          <w:lang w:val="en-US" w:eastAsia="zh-CN"/>
        </w:rPr>
        <w:t>）及项目环评批复等要求</w:t>
      </w:r>
      <w:r>
        <w:rPr>
          <w:rFonts w:hint="eastAsia" w:ascii="仿宋" w:hAnsi="仿宋" w:eastAsia="仿宋" w:cs="仿宋"/>
          <w:b w:val="0"/>
          <w:bCs w:val="0"/>
          <w:i w:val="0"/>
          <w:iCs w:val="0"/>
          <w:color w:val="auto"/>
          <w:spacing w:val="0"/>
          <w:kern w:val="2"/>
          <w:sz w:val="32"/>
          <w:szCs w:val="32"/>
          <w:highlight w:val="none"/>
          <w:vertAlign w:val="baseline"/>
          <w:lang w:val="en-US" w:eastAsia="zh-CN" w:bidi="ar-SA"/>
        </w:rPr>
        <w:t>。</w:t>
      </w:r>
    </w:p>
    <w:p w14:paraId="1D77311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p>
    <w:p w14:paraId="6DBE595B">
      <w:pPr>
        <w:overflowPunct w:val="0"/>
        <w:jc w:val="both"/>
        <w:rPr>
          <w:rFonts w:hint="eastAsia" w:ascii="仿宋" w:hAnsi="仿宋" w:eastAsia="仿宋" w:cs="仿宋"/>
          <w:color w:val="auto"/>
          <w:spacing w:val="0"/>
          <w:highlight w:val="none"/>
          <w:lang w:val="en-US" w:eastAsia="zh-CN"/>
        </w:rPr>
      </w:pPr>
    </w:p>
    <w:p w14:paraId="25E2EFBC">
      <w:pPr>
        <w:overflowPunct w:val="0"/>
        <w:jc w:val="both"/>
        <w:rPr>
          <w:rFonts w:hint="eastAsia" w:ascii="仿宋" w:hAnsi="仿宋" w:eastAsia="仿宋" w:cs="仿宋"/>
          <w:color w:val="auto"/>
          <w:spacing w:val="0"/>
          <w:highlight w:val="none"/>
          <w:lang w:val="en-US" w:eastAsia="zh-CN"/>
        </w:rPr>
      </w:pPr>
    </w:p>
    <w:p w14:paraId="482ED758">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33" w:name="_Toc30470"/>
      <w:bookmarkStart w:id="34" w:name="_Toc29063"/>
      <w:r>
        <w:rPr>
          <w:rFonts w:hint="eastAsia" w:ascii="仿宋" w:hAnsi="仿宋" w:eastAsia="黑体" w:cs="仿宋"/>
          <w:b/>
          <w:bCs/>
          <w:color w:val="auto"/>
          <w:spacing w:val="0"/>
          <w:kern w:val="0"/>
          <w:sz w:val="32"/>
          <w:szCs w:val="32"/>
          <w:lang w:val="en-US" w:eastAsia="zh-CN" w:bidi="ar-SA"/>
        </w:rPr>
        <w:t>五、</w:t>
      </w:r>
      <w:r>
        <w:rPr>
          <w:rFonts w:hint="eastAsia" w:ascii="仿宋" w:hAnsi="仿宋" w:eastAsia="仿宋" w:cs="仿宋"/>
          <w:b/>
          <w:bCs/>
          <w:color w:val="auto"/>
          <w:spacing w:val="0"/>
          <w:sz w:val="32"/>
          <w:szCs w:val="32"/>
          <w:highlight w:val="none"/>
          <w:lang w:val="en-US" w:eastAsia="zh-CN"/>
        </w:rPr>
        <w:t>源头排放污染防治策略</w:t>
      </w:r>
      <w:bookmarkEnd w:id="33"/>
      <w:bookmarkEnd w:id="34"/>
    </w:p>
    <w:p w14:paraId="6F452145">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35" w:name="_Toc16787"/>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源头减量目标</w:t>
      </w:r>
      <w:bookmarkEnd w:id="35"/>
    </w:p>
    <w:p w14:paraId="757572E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到2026年底，新建建筑施工现场建筑垃圾排放量（不包括工程渣土、工程泥浆）排放量每万平方米不高于300吨，装配式建筑施工现场建筑垃圾排放量（不包括工程渣土、工程泥浆）排放量每万平方米不高于200吨。</w:t>
      </w:r>
    </w:p>
    <w:p w14:paraId="4C0ECDD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到2030年底，新建建筑施工现场建筑垃圾排放量（不包括工程渣土、工程泥浆）排放量每万平方米不高于260吨，装配式建筑施工现场建筑垃圾排放量（不包括工程渣土、工程泥浆）排放量每万平方米不高于180吨。</w:t>
      </w:r>
    </w:p>
    <w:p w14:paraId="21CE4B39">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36" w:name="_Toc1458"/>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落实源头减量主体责任</w:t>
      </w:r>
      <w:bookmarkEnd w:id="36"/>
    </w:p>
    <w:p w14:paraId="5F853D4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设工程主管部门应当排查本部门监管的施工工地建筑垃圾分类制度落实情况，对施工现场未分类收集建筑垃圾，或建筑垃圾中混入生活垃圾等固体废物的，责令施工单位立即清理和整改，并依法进行查处；排查建筑垃圾排放管理情况，对工程建设项目擅自倾倒、抛撒、堆放建筑垃圾，未按规定利用或处置建筑垃圾的，依法从严查处；排查关于推进建筑垃圾减量化相关指导意见及要求落实情况，加强建筑垃圾源头管控。</w:t>
      </w:r>
    </w:p>
    <w:p w14:paraId="59729E3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建设单位应当履行源头减量义务，采取有效措施预防和减少建筑垃圾的产生和排放，并将建筑垃圾减量化措施费用纳入工程概算。</w:t>
      </w:r>
    </w:p>
    <w:p w14:paraId="7B4CAF1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建设单位、施工单位应当在工程招标文件、承包合同和施工组织设计中明确施工现场建筑垃圾源头减量的具体要求和措施，以及建筑垃圾综合利用产品的使用要求。</w:t>
      </w:r>
    </w:p>
    <w:p w14:paraId="3FCB6CD0">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设计单位应当优化工程设计、提高设计质量，</w:t>
      </w:r>
      <w:r>
        <w:rPr>
          <w:rFonts w:hint="eastAsia" w:ascii="仿宋" w:hAnsi="仿宋" w:cs="仿宋"/>
          <w:color w:val="auto"/>
          <w:spacing w:val="0"/>
          <w:sz w:val="32"/>
          <w:szCs w:val="32"/>
          <w:highlight w:val="none"/>
          <w:lang w:val="en-US" w:eastAsia="zh-CN"/>
        </w:rPr>
        <w:t>合理确定场地标高，开展土方平衡论证，</w:t>
      </w:r>
      <w:r>
        <w:rPr>
          <w:rFonts w:hint="eastAsia" w:ascii="仿宋" w:hAnsi="仿宋" w:eastAsia="仿宋" w:cs="仿宋"/>
          <w:color w:val="auto"/>
          <w:spacing w:val="0"/>
          <w:sz w:val="32"/>
          <w:szCs w:val="32"/>
          <w:highlight w:val="none"/>
          <w:lang w:val="en-US" w:eastAsia="zh-CN"/>
        </w:rPr>
        <w:t>从源头上减少建筑材料的消耗和建筑垃圾的产生</w:t>
      </w:r>
      <w:r>
        <w:rPr>
          <w:rFonts w:hint="eastAsia" w:ascii="仿宋" w:hAnsi="仿宋" w:cs="仿宋"/>
          <w:color w:val="auto"/>
          <w:spacing w:val="0"/>
          <w:sz w:val="32"/>
          <w:szCs w:val="32"/>
          <w:highlight w:val="none"/>
          <w:lang w:val="en-US" w:eastAsia="zh-CN"/>
        </w:rPr>
        <w:t>和外运</w:t>
      </w:r>
      <w:r>
        <w:rPr>
          <w:rFonts w:hint="eastAsia" w:ascii="仿宋" w:hAnsi="仿宋" w:eastAsia="仿宋" w:cs="仿宋"/>
          <w:color w:val="auto"/>
          <w:spacing w:val="0"/>
          <w:sz w:val="32"/>
          <w:szCs w:val="32"/>
          <w:highlight w:val="none"/>
          <w:lang w:val="en-US" w:eastAsia="zh-CN"/>
        </w:rPr>
        <w:t>，提高对建筑垃圾综合利用产品的使用；监理单位应当监督施工单位落实建筑垃圾源头减量措施。</w:t>
      </w:r>
    </w:p>
    <w:p w14:paraId="0482E874">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37" w:name="_Toc31472"/>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推进建筑垃圾源头分类</w:t>
      </w:r>
      <w:bookmarkEnd w:id="37"/>
    </w:p>
    <w:p w14:paraId="282C4ED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应当按照工程渣土、工程泥浆、工程垃圾、拆除垃圾、装修垃圾进行分类收集、分类运输、分类利用、分类处置，并应当坚持以末端处理为导向，对建筑垃圾进行细化分类处理，进一步推动建筑垃圾综合利用。</w:t>
      </w:r>
    </w:p>
    <w:p w14:paraId="6F03B17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建设单位应当建立建筑垃圾分类收集、贮存以及台账管理等制度，督促施工单位开展建筑垃圾分类和合法装载，并及时向工程所在地区城管部门报送建筑垃圾处理方案。</w:t>
      </w:r>
    </w:p>
    <w:p w14:paraId="3E1901FC">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施工单位应当建立建筑垃圾管理台账，分类收集、贮存和及时清运施工过程中产生的建筑垃圾，采取有效措施防止混合已分类的建筑垃圾；确保建筑垃圾收集、贮存和清运全过程中不混入生活垃圾、污泥、河道疏浚底泥、工业垃圾和危险废物等。</w:t>
      </w:r>
    </w:p>
    <w:p w14:paraId="2AED660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清城区建筑垃圾主管部门结合建筑垃圾收运处理体系规划建设情况，建立建筑垃圾源头分类制度。混凝土、砂浆、砖瓦、陶瓷、石材等不应与有机杂物、金属等混杂；建议经分类后的金属、塑料、玻璃、纸类及竹木类等纳入可回收物收运处理体系；经分类后的涂料和油漆等有害垃圾，涂料、油漆等包装容器以及被其污染的物品，纳入有害垃圾收运处理体系；居民装饰装修产生的建筑垃圾可考虑由施工单位以及居民装修垃圾收集点、中转设施或资源化利用项目运营单位等实施相关的分类工作。</w:t>
      </w:r>
    </w:p>
    <w:p w14:paraId="526DE376">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相关分类建议如下：</w:t>
      </w:r>
    </w:p>
    <w:p w14:paraId="6D1A5438">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1.工程渣土源头分类</w:t>
      </w:r>
    </w:p>
    <w:p w14:paraId="5EB20325">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工程渣土分类类别及常见实物列举</w:t>
      </w:r>
    </w:p>
    <w:tbl>
      <w:tblPr>
        <w:tblStyle w:val="44"/>
        <w:tblW w:w="8659" w:type="dxa"/>
        <w:jc w:val="center"/>
        <w:tblLayout w:type="fixed"/>
        <w:tblCellMar>
          <w:top w:w="0" w:type="dxa"/>
          <w:left w:w="108" w:type="dxa"/>
          <w:bottom w:w="0" w:type="dxa"/>
          <w:right w:w="108" w:type="dxa"/>
        </w:tblCellMar>
      </w:tblPr>
      <w:tblGrid>
        <w:gridCol w:w="3613"/>
        <w:gridCol w:w="5046"/>
      </w:tblGrid>
      <w:tr w14:paraId="413754FD">
        <w:tblPrEx>
          <w:tblCellMar>
            <w:top w:w="0" w:type="dxa"/>
            <w:left w:w="108" w:type="dxa"/>
            <w:bottom w:w="0" w:type="dxa"/>
            <w:right w:w="108" w:type="dxa"/>
          </w:tblCellMar>
        </w:tblPrEx>
        <w:trPr>
          <w:trHeight w:val="433" w:hRule="atLeast"/>
          <w:jc w:val="center"/>
        </w:trPr>
        <w:tc>
          <w:tcPr>
            <w:tcW w:w="3613" w:type="dxa"/>
            <w:tcBorders>
              <w:top w:val="single" w:color="000000" w:sz="4" w:space="0"/>
              <w:left w:val="single" w:color="000000" w:sz="4" w:space="0"/>
              <w:bottom w:val="single" w:color="000000" w:sz="4" w:space="0"/>
              <w:right w:val="single" w:color="000000" w:sz="4" w:space="0"/>
            </w:tcBorders>
            <w:noWrap/>
            <w:vAlign w:val="center"/>
          </w:tcPr>
          <w:p w14:paraId="57F0658C">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类  别</w:t>
            </w:r>
          </w:p>
        </w:tc>
        <w:tc>
          <w:tcPr>
            <w:tcW w:w="5046" w:type="dxa"/>
            <w:tcBorders>
              <w:top w:val="single" w:color="000000" w:sz="4" w:space="0"/>
              <w:left w:val="single" w:color="000000" w:sz="4" w:space="0"/>
              <w:bottom w:val="single" w:color="000000" w:sz="4" w:space="0"/>
              <w:right w:val="single" w:color="000000" w:sz="4" w:space="0"/>
            </w:tcBorders>
            <w:noWrap/>
            <w:vAlign w:val="center"/>
          </w:tcPr>
          <w:p w14:paraId="5F7377FF">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常见实物列举</w:t>
            </w:r>
          </w:p>
        </w:tc>
      </w:tr>
      <w:tr w14:paraId="2C790C14">
        <w:tblPrEx>
          <w:tblCellMar>
            <w:top w:w="0" w:type="dxa"/>
            <w:left w:w="108" w:type="dxa"/>
            <w:bottom w:w="0" w:type="dxa"/>
            <w:right w:w="108" w:type="dxa"/>
          </w:tblCellMar>
        </w:tblPrEx>
        <w:trPr>
          <w:trHeight w:val="758" w:hRule="atLeast"/>
          <w:jc w:val="center"/>
        </w:trPr>
        <w:tc>
          <w:tcPr>
            <w:tcW w:w="3613" w:type="dxa"/>
            <w:tcBorders>
              <w:top w:val="single" w:color="000000" w:sz="4" w:space="0"/>
              <w:left w:val="single" w:color="000000" w:sz="4" w:space="0"/>
              <w:bottom w:val="single" w:color="000000" w:sz="4" w:space="0"/>
              <w:right w:val="single" w:color="000000" w:sz="4" w:space="0"/>
            </w:tcBorders>
            <w:noWrap/>
            <w:vAlign w:val="center"/>
          </w:tcPr>
          <w:p w14:paraId="6E0A6630">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表层耕植土类</w:t>
            </w:r>
          </w:p>
        </w:tc>
        <w:tc>
          <w:tcPr>
            <w:tcW w:w="5046" w:type="dxa"/>
            <w:tcBorders>
              <w:top w:val="single" w:color="000000" w:sz="4" w:space="0"/>
              <w:left w:val="single" w:color="000000" w:sz="4" w:space="0"/>
              <w:bottom w:val="single" w:color="000000" w:sz="4" w:space="0"/>
              <w:right w:val="single" w:color="000000" w:sz="4" w:space="0"/>
            </w:tcBorders>
            <w:noWrap/>
            <w:vAlign w:val="center"/>
          </w:tcPr>
          <w:p w14:paraId="4281EAF7">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红壤、黄壤、潮土、水稻土等 </w:t>
            </w:r>
          </w:p>
        </w:tc>
      </w:tr>
      <w:tr w14:paraId="0EC83F02">
        <w:tblPrEx>
          <w:tblCellMar>
            <w:top w:w="0" w:type="dxa"/>
            <w:left w:w="108" w:type="dxa"/>
            <w:bottom w:w="0" w:type="dxa"/>
            <w:right w:w="108" w:type="dxa"/>
          </w:tblCellMar>
        </w:tblPrEx>
        <w:trPr>
          <w:trHeight w:val="855" w:hRule="atLeast"/>
          <w:jc w:val="center"/>
        </w:trPr>
        <w:tc>
          <w:tcPr>
            <w:tcW w:w="3613" w:type="dxa"/>
            <w:tcBorders>
              <w:top w:val="single" w:color="000000" w:sz="4" w:space="0"/>
              <w:left w:val="single" w:color="000000" w:sz="4" w:space="0"/>
              <w:bottom w:val="single" w:color="000000" w:sz="4" w:space="0"/>
              <w:right w:val="single" w:color="000000" w:sz="4" w:space="0"/>
            </w:tcBorders>
            <w:noWrap/>
            <w:vAlign w:val="center"/>
          </w:tcPr>
          <w:p w14:paraId="3697F77D">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建筑原材料类</w:t>
            </w:r>
          </w:p>
        </w:tc>
        <w:tc>
          <w:tcPr>
            <w:tcW w:w="5046" w:type="dxa"/>
            <w:tcBorders>
              <w:top w:val="single" w:color="000000" w:sz="4" w:space="0"/>
              <w:left w:val="single" w:color="000000" w:sz="4" w:space="0"/>
              <w:bottom w:val="single" w:color="000000" w:sz="4" w:space="0"/>
              <w:right w:val="single" w:color="000000" w:sz="4" w:space="0"/>
            </w:tcBorders>
            <w:noWrap/>
            <w:vAlign w:val="center"/>
          </w:tcPr>
          <w:p w14:paraId="5F73D72C">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粉砂（土）、砂土、卵石、砾石、</w:t>
            </w:r>
          </w:p>
          <w:p w14:paraId="0AFDD12A">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岩石、淤砂等 </w:t>
            </w:r>
          </w:p>
        </w:tc>
      </w:tr>
      <w:tr w14:paraId="7A765CD1">
        <w:tblPrEx>
          <w:tblCellMar>
            <w:top w:w="0" w:type="dxa"/>
            <w:left w:w="108" w:type="dxa"/>
            <w:bottom w:w="0" w:type="dxa"/>
            <w:right w:w="108" w:type="dxa"/>
          </w:tblCellMar>
        </w:tblPrEx>
        <w:trPr>
          <w:trHeight w:val="780" w:hRule="atLeast"/>
          <w:jc w:val="center"/>
        </w:trPr>
        <w:tc>
          <w:tcPr>
            <w:tcW w:w="3613" w:type="dxa"/>
            <w:tcBorders>
              <w:top w:val="single" w:color="000000" w:sz="4" w:space="0"/>
              <w:left w:val="single" w:color="000000" w:sz="4" w:space="0"/>
              <w:bottom w:val="single" w:color="000000" w:sz="4" w:space="0"/>
              <w:right w:val="single" w:color="000000" w:sz="4" w:space="0"/>
            </w:tcBorders>
            <w:noWrap/>
            <w:vAlign w:val="center"/>
          </w:tcPr>
          <w:p w14:paraId="7E964DD4">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其他可利用类</w:t>
            </w:r>
          </w:p>
        </w:tc>
        <w:tc>
          <w:tcPr>
            <w:tcW w:w="5046" w:type="dxa"/>
            <w:tcBorders>
              <w:top w:val="single" w:color="000000" w:sz="4" w:space="0"/>
              <w:left w:val="single" w:color="000000" w:sz="4" w:space="0"/>
              <w:bottom w:val="single" w:color="000000" w:sz="4" w:space="0"/>
              <w:right w:val="single" w:color="000000" w:sz="4" w:space="0"/>
            </w:tcBorders>
            <w:noWrap/>
            <w:vAlign w:val="center"/>
          </w:tcPr>
          <w:p w14:paraId="79D1DDD0">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淤泥、粘土、人工填土等 </w:t>
            </w:r>
          </w:p>
        </w:tc>
      </w:tr>
    </w:tbl>
    <w:p w14:paraId="61B0FF2E">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2.工程泥浆</w:t>
      </w:r>
    </w:p>
    <w:p w14:paraId="483E6EB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（1）工程泥浆经脱水、固化后形成的泥饼，经检测符合条件或者无害化处理后，可用作回填、场地覆盖或制备再生产品。</w:t>
      </w:r>
    </w:p>
    <w:p w14:paraId="2C2AD67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（2）工程泥浆分选后形成的砂、石骨料，其性能符合国家有关标准的，可用作再生粗（细）骨料、蒸压加气混凝土原料。</w:t>
      </w:r>
    </w:p>
    <w:p w14:paraId="3ADCF25B">
      <w:pPr>
        <w:widowControl/>
        <w:overflowPunct w:val="0"/>
        <w:adjustRightInd/>
        <w:snapToGrid/>
        <w:spacing w:line="600" w:lineRule="exact"/>
        <w:ind w:firstLine="643" w:firstLineChars="200"/>
        <w:jc w:val="both"/>
        <w:rPr>
          <w:rFonts w:hint="eastAsia" w:ascii="仿宋" w:hAnsi="仿宋" w:eastAsia="仿宋" w:cs="仿宋"/>
          <w:color w:val="auto"/>
          <w:highlight w:val="none"/>
        </w:rPr>
      </w:pPr>
      <w:r>
        <w:rPr>
          <w:rFonts w:hint="eastAsia" w:ascii="仿宋" w:hAnsi="仿宋" w:eastAsia="仿宋" w:cs="仿宋"/>
          <w:b/>
          <w:bCs/>
          <w:i w:val="0"/>
          <w:iCs w:val="0"/>
          <w:color w:val="auto"/>
          <w:spacing w:val="0"/>
          <w:kern w:val="2"/>
          <w:sz w:val="32"/>
          <w:szCs w:val="32"/>
          <w:highlight w:val="none"/>
          <w:vertAlign w:val="baseline"/>
          <w:lang w:val="en-US" w:eastAsia="zh-CN" w:bidi="ar-SA"/>
        </w:rPr>
        <w:t>3.工程垃圾</w:t>
      </w:r>
    </w:p>
    <w:p w14:paraId="76436962">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工程垃圾分类类别及常见实物列举</w:t>
      </w:r>
    </w:p>
    <w:tbl>
      <w:tblPr>
        <w:tblStyle w:val="44"/>
        <w:tblW w:w="8499" w:type="dxa"/>
        <w:jc w:val="center"/>
        <w:tblLayout w:type="fixed"/>
        <w:tblCellMar>
          <w:top w:w="0" w:type="dxa"/>
          <w:left w:w="108" w:type="dxa"/>
          <w:bottom w:w="0" w:type="dxa"/>
          <w:right w:w="108" w:type="dxa"/>
        </w:tblCellMar>
      </w:tblPr>
      <w:tblGrid>
        <w:gridCol w:w="1174"/>
        <w:gridCol w:w="2337"/>
        <w:gridCol w:w="4988"/>
      </w:tblGrid>
      <w:tr w14:paraId="31D4A532">
        <w:tblPrEx>
          <w:tblCellMar>
            <w:top w:w="0" w:type="dxa"/>
            <w:left w:w="108" w:type="dxa"/>
            <w:bottom w:w="0" w:type="dxa"/>
            <w:right w:w="108" w:type="dxa"/>
          </w:tblCellMar>
        </w:tblPrEx>
        <w:trPr>
          <w:trHeight w:val="377" w:hRule="atLeast"/>
          <w:jc w:val="center"/>
        </w:trPr>
        <w:tc>
          <w:tcPr>
            <w:tcW w:w="3511" w:type="dxa"/>
            <w:gridSpan w:val="2"/>
            <w:tcBorders>
              <w:top w:val="single" w:color="000000" w:sz="4" w:space="0"/>
              <w:left w:val="single" w:color="000000" w:sz="4" w:space="0"/>
              <w:bottom w:val="single" w:color="000000" w:sz="4" w:space="0"/>
              <w:right w:val="single" w:color="000000" w:sz="4" w:space="0"/>
            </w:tcBorders>
            <w:noWrap/>
            <w:vAlign w:val="center"/>
          </w:tcPr>
          <w:p w14:paraId="2FB6E120">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类  别</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78CAD918">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常见实物列举</w:t>
            </w:r>
          </w:p>
        </w:tc>
      </w:tr>
      <w:tr w14:paraId="4CDE7F76">
        <w:tblPrEx>
          <w:tblCellMar>
            <w:top w:w="0" w:type="dxa"/>
            <w:left w:w="108" w:type="dxa"/>
            <w:bottom w:w="0" w:type="dxa"/>
            <w:right w:w="108" w:type="dxa"/>
          </w:tblCellMar>
        </w:tblPrEx>
        <w:trPr>
          <w:trHeight w:val="2158" w:hRule="atLeast"/>
          <w:jc w:val="center"/>
        </w:trPr>
        <w:tc>
          <w:tcPr>
            <w:tcW w:w="3511" w:type="dxa"/>
            <w:gridSpan w:val="2"/>
            <w:tcBorders>
              <w:top w:val="single" w:color="000000" w:sz="4" w:space="0"/>
              <w:left w:val="single" w:color="000000" w:sz="4" w:space="0"/>
              <w:bottom w:val="single" w:color="000000" w:sz="4" w:space="0"/>
              <w:right w:val="single" w:color="000000" w:sz="4" w:space="0"/>
            </w:tcBorders>
            <w:noWrap/>
            <w:vAlign w:val="center"/>
          </w:tcPr>
          <w:p w14:paraId="2AEF15F3">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金属类</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5544F418">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钢筋、铁丝、角钢、型钢、废卡扣（脚手架）、废钢管（脚手架）、钢管（焊接、SC、无缝）、废螺杆、废铜材、废铝材及边角料、废金属箱、废锯片、废钻头、焊条头、废钉子、电线、电缆等 </w:t>
            </w:r>
          </w:p>
        </w:tc>
      </w:tr>
      <w:tr w14:paraId="47F7D935">
        <w:tblPrEx>
          <w:tblCellMar>
            <w:top w:w="0" w:type="dxa"/>
            <w:left w:w="108" w:type="dxa"/>
            <w:bottom w:w="0" w:type="dxa"/>
            <w:right w:w="108" w:type="dxa"/>
          </w:tblCellMar>
        </w:tblPrEx>
        <w:trPr>
          <w:trHeight w:val="1246" w:hRule="atLeast"/>
          <w:jc w:val="center"/>
        </w:trPr>
        <w:tc>
          <w:tcPr>
            <w:tcW w:w="1174" w:type="dxa"/>
            <w:vMerge w:val="restart"/>
            <w:tcBorders>
              <w:top w:val="single" w:color="000000" w:sz="4" w:space="0"/>
              <w:left w:val="single" w:color="000000" w:sz="4" w:space="0"/>
              <w:right w:val="single" w:color="000000" w:sz="4" w:space="0"/>
            </w:tcBorders>
            <w:noWrap/>
            <w:vAlign w:val="center"/>
          </w:tcPr>
          <w:p w14:paraId="6F3D42F0">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无机</w:t>
            </w:r>
          </w:p>
          <w:p w14:paraId="5ED88D49">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非金属类</w:t>
            </w:r>
          </w:p>
        </w:tc>
        <w:tc>
          <w:tcPr>
            <w:tcW w:w="2337" w:type="dxa"/>
            <w:tcBorders>
              <w:top w:val="single" w:color="000000" w:sz="4" w:space="0"/>
              <w:left w:val="single" w:color="000000" w:sz="4" w:space="0"/>
              <w:bottom w:val="single" w:color="000000" w:sz="4" w:space="0"/>
              <w:right w:val="single" w:color="000000" w:sz="4" w:space="0"/>
            </w:tcBorders>
            <w:noWrap/>
            <w:vAlign w:val="center"/>
          </w:tcPr>
          <w:p w14:paraId="01F515FE">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可资源化利用类</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47C9D31D">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沥青混合料、混凝土、砖瓦、砂石、</w:t>
            </w:r>
          </w:p>
          <w:p w14:paraId="6D332C5B">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砂浆、水泥、素混凝土桩头水泥、砌块、瓷砖边角料、大理石边角料等 </w:t>
            </w:r>
          </w:p>
        </w:tc>
      </w:tr>
      <w:tr w14:paraId="61C269CA">
        <w:tblPrEx>
          <w:tblCellMar>
            <w:top w:w="0" w:type="dxa"/>
            <w:left w:w="108" w:type="dxa"/>
            <w:bottom w:w="0" w:type="dxa"/>
            <w:right w:w="108" w:type="dxa"/>
          </w:tblCellMar>
        </w:tblPrEx>
        <w:trPr>
          <w:trHeight w:val="1246" w:hRule="atLeast"/>
          <w:jc w:val="center"/>
        </w:trPr>
        <w:tc>
          <w:tcPr>
            <w:tcW w:w="1174" w:type="dxa"/>
            <w:vMerge w:val="continue"/>
            <w:tcBorders>
              <w:left w:val="single" w:color="000000" w:sz="4" w:space="0"/>
              <w:bottom w:val="single" w:color="000000" w:sz="4" w:space="0"/>
              <w:right w:val="single" w:color="000000" w:sz="4" w:space="0"/>
            </w:tcBorders>
            <w:noWrap/>
            <w:vAlign w:val="center"/>
          </w:tcPr>
          <w:p w14:paraId="28D99779">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7" w:type="dxa"/>
            <w:tcBorders>
              <w:top w:val="single" w:color="000000" w:sz="4" w:space="0"/>
              <w:left w:val="single" w:color="000000" w:sz="4" w:space="0"/>
              <w:bottom w:val="single" w:color="000000" w:sz="4" w:space="0"/>
              <w:right w:val="single" w:color="000000" w:sz="4" w:space="0"/>
            </w:tcBorders>
            <w:noWrap/>
            <w:vAlign w:val="center"/>
          </w:tcPr>
          <w:p w14:paraId="2B3766B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可回收类</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46EAFB25">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碎玻璃等 </w:t>
            </w:r>
          </w:p>
        </w:tc>
      </w:tr>
      <w:tr w14:paraId="5A2F1967">
        <w:tblPrEx>
          <w:tblCellMar>
            <w:top w:w="0" w:type="dxa"/>
            <w:left w:w="108" w:type="dxa"/>
            <w:bottom w:w="0" w:type="dxa"/>
            <w:right w:w="108" w:type="dxa"/>
          </w:tblCellMar>
        </w:tblPrEx>
        <w:trPr>
          <w:trHeight w:val="1246" w:hRule="atLeast"/>
          <w:jc w:val="center"/>
        </w:trPr>
        <w:tc>
          <w:tcPr>
            <w:tcW w:w="1174" w:type="dxa"/>
            <w:vMerge w:val="restart"/>
            <w:tcBorders>
              <w:top w:val="single" w:color="000000" w:sz="4" w:space="0"/>
              <w:left w:val="single" w:color="000000" w:sz="4" w:space="0"/>
              <w:right w:val="single" w:color="000000" w:sz="4" w:space="0"/>
            </w:tcBorders>
            <w:noWrap/>
            <w:vAlign w:val="center"/>
          </w:tcPr>
          <w:p w14:paraId="185DE7FC">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其他类</w:t>
            </w:r>
          </w:p>
        </w:tc>
        <w:tc>
          <w:tcPr>
            <w:tcW w:w="2337" w:type="dxa"/>
            <w:tcBorders>
              <w:top w:val="single" w:color="000000" w:sz="4" w:space="0"/>
              <w:left w:val="single" w:color="000000" w:sz="4" w:space="0"/>
              <w:bottom w:val="single" w:color="000000" w:sz="4" w:space="0"/>
              <w:right w:val="single" w:color="000000" w:sz="4" w:space="0"/>
            </w:tcBorders>
            <w:noWrap/>
            <w:vAlign w:val="center"/>
          </w:tcPr>
          <w:p w14:paraId="1925888E">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竹木类</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599410DB">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木模板、木板、木条、木方、木片、</w:t>
            </w:r>
          </w:p>
          <w:p w14:paraId="6C3C9C2E">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木屑、木制板材、木制包装、竹材等</w:t>
            </w:r>
          </w:p>
        </w:tc>
      </w:tr>
      <w:tr w14:paraId="72FB4D15">
        <w:tblPrEx>
          <w:tblCellMar>
            <w:top w:w="0" w:type="dxa"/>
            <w:left w:w="108" w:type="dxa"/>
            <w:bottom w:w="0" w:type="dxa"/>
            <w:right w:w="108" w:type="dxa"/>
          </w:tblCellMar>
        </w:tblPrEx>
        <w:trPr>
          <w:trHeight w:val="1246" w:hRule="atLeast"/>
          <w:jc w:val="center"/>
        </w:trPr>
        <w:tc>
          <w:tcPr>
            <w:tcW w:w="1174" w:type="dxa"/>
            <w:vMerge w:val="continue"/>
            <w:tcBorders>
              <w:left w:val="single" w:color="000000" w:sz="4" w:space="0"/>
              <w:right w:val="single" w:color="000000" w:sz="4" w:space="0"/>
            </w:tcBorders>
            <w:noWrap/>
            <w:vAlign w:val="center"/>
          </w:tcPr>
          <w:p w14:paraId="566DFF91">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7" w:type="dxa"/>
            <w:tcBorders>
              <w:top w:val="single" w:color="000000" w:sz="4" w:space="0"/>
              <w:left w:val="single" w:color="000000" w:sz="4" w:space="0"/>
              <w:bottom w:val="single" w:color="000000" w:sz="4" w:space="0"/>
              <w:right w:val="single" w:color="000000" w:sz="4" w:space="0"/>
            </w:tcBorders>
            <w:noWrap/>
            <w:vAlign w:val="center"/>
          </w:tcPr>
          <w:p w14:paraId="12A9C604">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塑料类</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42459037">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塑料包装、塑料薄膜、防尘网、安全网、编织袋、废胶带、机电管材、泡沫等</w:t>
            </w:r>
          </w:p>
        </w:tc>
      </w:tr>
      <w:tr w14:paraId="0E21859A">
        <w:tblPrEx>
          <w:tblCellMar>
            <w:top w:w="0" w:type="dxa"/>
            <w:left w:w="108" w:type="dxa"/>
            <w:bottom w:w="0" w:type="dxa"/>
            <w:right w:w="108" w:type="dxa"/>
          </w:tblCellMar>
        </w:tblPrEx>
        <w:trPr>
          <w:trHeight w:val="1246" w:hRule="atLeast"/>
          <w:jc w:val="center"/>
        </w:trPr>
        <w:tc>
          <w:tcPr>
            <w:tcW w:w="1174" w:type="dxa"/>
            <w:vMerge w:val="continue"/>
            <w:tcBorders>
              <w:left w:val="single" w:color="000000" w:sz="4" w:space="0"/>
              <w:right w:val="single" w:color="000000" w:sz="4" w:space="0"/>
            </w:tcBorders>
            <w:noWrap/>
            <w:vAlign w:val="center"/>
          </w:tcPr>
          <w:p w14:paraId="77AF508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7" w:type="dxa"/>
            <w:tcBorders>
              <w:top w:val="single" w:color="000000" w:sz="4" w:space="0"/>
              <w:left w:val="single" w:color="000000" w:sz="4" w:space="0"/>
              <w:bottom w:val="single" w:color="000000" w:sz="4" w:space="0"/>
              <w:right w:val="single" w:color="000000" w:sz="4" w:space="0"/>
            </w:tcBorders>
            <w:noWrap/>
            <w:vAlign w:val="center"/>
          </w:tcPr>
          <w:p w14:paraId="03A156BC">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纸品类</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62DCE57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纸盒、纸箱、纸板、纸张等</w:t>
            </w:r>
          </w:p>
        </w:tc>
      </w:tr>
      <w:tr w14:paraId="2D0AFC55">
        <w:tblPrEx>
          <w:tblCellMar>
            <w:top w:w="0" w:type="dxa"/>
            <w:left w:w="108" w:type="dxa"/>
            <w:bottom w:w="0" w:type="dxa"/>
            <w:right w:w="108" w:type="dxa"/>
          </w:tblCellMar>
        </w:tblPrEx>
        <w:trPr>
          <w:trHeight w:val="1263" w:hRule="atLeast"/>
          <w:jc w:val="center"/>
        </w:trPr>
        <w:tc>
          <w:tcPr>
            <w:tcW w:w="1174" w:type="dxa"/>
            <w:vMerge w:val="continue"/>
            <w:tcBorders>
              <w:left w:val="single" w:color="000000" w:sz="4" w:space="0"/>
              <w:bottom w:val="single" w:color="000000" w:sz="4" w:space="0"/>
              <w:right w:val="single" w:color="000000" w:sz="4" w:space="0"/>
            </w:tcBorders>
            <w:noWrap/>
            <w:vAlign w:val="center"/>
          </w:tcPr>
          <w:p w14:paraId="13B8196C">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7" w:type="dxa"/>
            <w:tcBorders>
              <w:top w:val="single" w:color="000000" w:sz="4" w:space="0"/>
              <w:left w:val="single" w:color="000000" w:sz="4" w:space="0"/>
              <w:bottom w:val="single" w:color="000000" w:sz="4" w:space="0"/>
              <w:right w:val="single" w:color="000000" w:sz="4" w:space="0"/>
            </w:tcBorders>
            <w:noWrap/>
            <w:vAlign w:val="center"/>
          </w:tcPr>
          <w:p w14:paraId="380486F5">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混合类</w:t>
            </w:r>
          </w:p>
        </w:tc>
        <w:tc>
          <w:tcPr>
            <w:tcW w:w="4988" w:type="dxa"/>
            <w:tcBorders>
              <w:top w:val="single" w:color="000000" w:sz="4" w:space="0"/>
              <w:left w:val="single" w:color="000000" w:sz="4" w:space="0"/>
              <w:bottom w:val="single" w:color="000000" w:sz="4" w:space="0"/>
              <w:right w:val="single" w:color="000000" w:sz="4" w:space="0"/>
            </w:tcBorders>
            <w:noWrap/>
            <w:vAlign w:val="center"/>
          </w:tcPr>
          <w:p w14:paraId="015B462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废毛刷、废毛毡、轻质金属夹芯板、</w:t>
            </w:r>
          </w:p>
          <w:p w14:paraId="02158945">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石膏板等</w:t>
            </w:r>
          </w:p>
        </w:tc>
      </w:tr>
    </w:tbl>
    <w:p w14:paraId="52DCF12B">
      <w:pPr>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br w:type="page"/>
      </w:r>
    </w:p>
    <w:p w14:paraId="4D4153A8">
      <w:pPr>
        <w:widowControl/>
        <w:overflowPunct w:val="0"/>
        <w:adjustRightInd/>
        <w:snapToGrid/>
        <w:spacing w:line="600" w:lineRule="exact"/>
        <w:ind w:firstLine="643" w:firstLineChars="200"/>
        <w:jc w:val="both"/>
        <w:rPr>
          <w:rFonts w:hint="eastAsia" w:ascii="仿宋" w:hAnsi="仿宋" w:eastAsia="仿宋" w:cs="仿宋"/>
          <w:color w:val="auto"/>
          <w:highlight w:val="none"/>
        </w:rPr>
      </w:pPr>
      <w:r>
        <w:rPr>
          <w:rFonts w:hint="eastAsia" w:ascii="仿宋" w:hAnsi="仿宋" w:eastAsia="仿宋" w:cs="仿宋"/>
          <w:b/>
          <w:bCs/>
          <w:i w:val="0"/>
          <w:iCs w:val="0"/>
          <w:color w:val="auto"/>
          <w:spacing w:val="0"/>
          <w:kern w:val="2"/>
          <w:sz w:val="32"/>
          <w:szCs w:val="32"/>
          <w:highlight w:val="none"/>
          <w:vertAlign w:val="baseline"/>
          <w:lang w:val="en-US" w:eastAsia="zh-CN" w:bidi="ar-SA"/>
        </w:rPr>
        <w:t>4.拆除垃圾</w:t>
      </w:r>
    </w:p>
    <w:p w14:paraId="7DA0379F">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拆除垃圾分类类别及常见实物列举</w:t>
      </w:r>
    </w:p>
    <w:tbl>
      <w:tblPr>
        <w:tblStyle w:val="44"/>
        <w:tblW w:w="8479" w:type="dxa"/>
        <w:jc w:val="center"/>
        <w:tblLayout w:type="fixed"/>
        <w:tblCellMar>
          <w:top w:w="0" w:type="dxa"/>
          <w:left w:w="108" w:type="dxa"/>
          <w:bottom w:w="0" w:type="dxa"/>
          <w:right w:w="108" w:type="dxa"/>
        </w:tblCellMar>
      </w:tblPr>
      <w:tblGrid>
        <w:gridCol w:w="1172"/>
        <w:gridCol w:w="2331"/>
        <w:gridCol w:w="4976"/>
      </w:tblGrid>
      <w:tr w14:paraId="47B55A95">
        <w:tblPrEx>
          <w:tblCellMar>
            <w:top w:w="0" w:type="dxa"/>
            <w:left w:w="108" w:type="dxa"/>
            <w:bottom w:w="0" w:type="dxa"/>
            <w:right w:w="108" w:type="dxa"/>
          </w:tblCellMar>
        </w:tblPrEx>
        <w:trPr>
          <w:cantSplit/>
          <w:trHeight w:val="389" w:hRule="atLeast"/>
          <w:jc w:val="center"/>
        </w:trPr>
        <w:tc>
          <w:tcPr>
            <w:tcW w:w="3503" w:type="dxa"/>
            <w:gridSpan w:val="2"/>
            <w:tcBorders>
              <w:top w:val="single" w:color="000000" w:sz="4" w:space="0"/>
              <w:left w:val="single" w:color="000000" w:sz="4" w:space="0"/>
              <w:bottom w:val="single" w:color="000000" w:sz="4" w:space="0"/>
              <w:right w:val="single" w:color="000000" w:sz="4" w:space="0"/>
            </w:tcBorders>
            <w:noWrap/>
            <w:vAlign w:val="center"/>
          </w:tcPr>
          <w:p w14:paraId="1B9812A1">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类  别</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1B71275B">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常见实物列举</w:t>
            </w:r>
          </w:p>
        </w:tc>
      </w:tr>
      <w:tr w14:paraId="134E7575">
        <w:tblPrEx>
          <w:tblCellMar>
            <w:top w:w="0" w:type="dxa"/>
            <w:left w:w="108" w:type="dxa"/>
            <w:bottom w:w="0" w:type="dxa"/>
            <w:right w:w="108" w:type="dxa"/>
          </w:tblCellMar>
        </w:tblPrEx>
        <w:trPr>
          <w:cantSplit/>
          <w:trHeight w:val="905" w:hRule="atLeast"/>
          <w:jc w:val="center"/>
        </w:trPr>
        <w:tc>
          <w:tcPr>
            <w:tcW w:w="3503" w:type="dxa"/>
            <w:gridSpan w:val="2"/>
            <w:tcBorders>
              <w:top w:val="single" w:color="000000" w:sz="4" w:space="0"/>
              <w:left w:val="single" w:color="000000" w:sz="4" w:space="0"/>
              <w:bottom w:val="single" w:color="000000" w:sz="4" w:space="0"/>
              <w:right w:val="single" w:color="000000" w:sz="4" w:space="0"/>
            </w:tcBorders>
            <w:noWrap/>
            <w:vAlign w:val="center"/>
          </w:tcPr>
          <w:p w14:paraId="2CDFD60F">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金属类</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7A38506F">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钢筋、铁丝、角钢、型钢、废钢管、废铜材、废铝材、废电箱、电线、电缆等 </w:t>
            </w:r>
          </w:p>
        </w:tc>
      </w:tr>
      <w:tr w14:paraId="12C84A91">
        <w:tblPrEx>
          <w:tblCellMar>
            <w:top w:w="0" w:type="dxa"/>
            <w:left w:w="108" w:type="dxa"/>
            <w:bottom w:w="0" w:type="dxa"/>
            <w:right w:w="108" w:type="dxa"/>
          </w:tblCellMar>
        </w:tblPrEx>
        <w:trPr>
          <w:cantSplit/>
          <w:trHeight w:val="1137" w:hRule="atLeast"/>
          <w:jc w:val="center"/>
        </w:trPr>
        <w:tc>
          <w:tcPr>
            <w:tcW w:w="1172" w:type="dxa"/>
            <w:vMerge w:val="restart"/>
            <w:tcBorders>
              <w:top w:val="single" w:color="000000" w:sz="4" w:space="0"/>
              <w:left w:val="single" w:color="000000" w:sz="4" w:space="0"/>
              <w:right w:val="single" w:color="000000" w:sz="4" w:space="0"/>
            </w:tcBorders>
            <w:noWrap/>
            <w:vAlign w:val="center"/>
          </w:tcPr>
          <w:p w14:paraId="4646B930">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无机</w:t>
            </w:r>
          </w:p>
          <w:p w14:paraId="41F0EE9F">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非金属类</w:t>
            </w:r>
          </w:p>
        </w:tc>
        <w:tc>
          <w:tcPr>
            <w:tcW w:w="2331" w:type="dxa"/>
            <w:tcBorders>
              <w:top w:val="single" w:color="000000" w:sz="4" w:space="0"/>
              <w:left w:val="single" w:color="000000" w:sz="4" w:space="0"/>
              <w:bottom w:val="single" w:color="000000" w:sz="4" w:space="0"/>
              <w:right w:val="single" w:color="000000" w:sz="4" w:space="0"/>
            </w:tcBorders>
            <w:noWrap/>
            <w:vAlign w:val="center"/>
          </w:tcPr>
          <w:p w14:paraId="27F0EEC3">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可资源化利用类</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619A3856">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沥青混合料、混凝土、砖瓦、砂浆、水泥、砌块、瓷砖、大理石、损坏的洁具等</w:t>
            </w:r>
          </w:p>
        </w:tc>
      </w:tr>
      <w:tr w14:paraId="45C1A6B7">
        <w:tblPrEx>
          <w:tblCellMar>
            <w:top w:w="0" w:type="dxa"/>
            <w:left w:w="108" w:type="dxa"/>
            <w:bottom w:w="0" w:type="dxa"/>
            <w:right w:w="108" w:type="dxa"/>
          </w:tblCellMar>
        </w:tblPrEx>
        <w:trPr>
          <w:cantSplit/>
          <w:trHeight w:val="905" w:hRule="atLeast"/>
          <w:jc w:val="center"/>
        </w:trPr>
        <w:tc>
          <w:tcPr>
            <w:tcW w:w="1172" w:type="dxa"/>
            <w:vMerge w:val="continue"/>
            <w:tcBorders>
              <w:left w:val="single" w:color="000000" w:sz="4" w:space="0"/>
              <w:bottom w:val="single" w:color="000000" w:sz="4" w:space="0"/>
              <w:right w:val="single" w:color="000000" w:sz="4" w:space="0"/>
            </w:tcBorders>
            <w:noWrap/>
            <w:vAlign w:val="center"/>
          </w:tcPr>
          <w:p w14:paraId="40436A3F">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1" w:type="dxa"/>
            <w:tcBorders>
              <w:top w:val="single" w:color="000000" w:sz="4" w:space="0"/>
              <w:left w:val="single" w:color="000000" w:sz="4" w:space="0"/>
              <w:bottom w:val="single" w:color="000000" w:sz="4" w:space="0"/>
              <w:right w:val="single" w:color="000000" w:sz="4" w:space="0"/>
            </w:tcBorders>
            <w:noWrap/>
            <w:vAlign w:val="center"/>
          </w:tcPr>
          <w:p w14:paraId="6C4FE23A">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可回收类</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297A8BC6">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玻璃瓶（罐）、玻璃杯（盘）、玻璃碎片、平板玻璃等</w:t>
            </w:r>
          </w:p>
        </w:tc>
      </w:tr>
      <w:tr w14:paraId="4F9F06F2">
        <w:tblPrEx>
          <w:tblCellMar>
            <w:top w:w="0" w:type="dxa"/>
            <w:left w:w="108" w:type="dxa"/>
            <w:bottom w:w="0" w:type="dxa"/>
            <w:right w:w="108" w:type="dxa"/>
          </w:tblCellMar>
        </w:tblPrEx>
        <w:trPr>
          <w:cantSplit/>
          <w:trHeight w:val="905" w:hRule="atLeast"/>
          <w:jc w:val="center"/>
        </w:trPr>
        <w:tc>
          <w:tcPr>
            <w:tcW w:w="1172" w:type="dxa"/>
            <w:vMerge w:val="restart"/>
            <w:tcBorders>
              <w:top w:val="single" w:color="000000" w:sz="4" w:space="0"/>
              <w:left w:val="single" w:color="000000" w:sz="4" w:space="0"/>
              <w:right w:val="single" w:color="000000" w:sz="4" w:space="0"/>
            </w:tcBorders>
            <w:noWrap/>
            <w:vAlign w:val="center"/>
          </w:tcPr>
          <w:p w14:paraId="2E024B61">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其他类</w:t>
            </w:r>
          </w:p>
        </w:tc>
        <w:tc>
          <w:tcPr>
            <w:tcW w:w="2331" w:type="dxa"/>
            <w:tcBorders>
              <w:top w:val="single" w:color="000000" w:sz="4" w:space="0"/>
              <w:left w:val="single" w:color="000000" w:sz="4" w:space="0"/>
              <w:bottom w:val="single" w:color="000000" w:sz="4" w:space="0"/>
              <w:right w:val="single" w:color="000000" w:sz="4" w:space="0"/>
            </w:tcBorders>
            <w:noWrap/>
            <w:vAlign w:val="center"/>
          </w:tcPr>
          <w:p w14:paraId="4DC5A817">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竹木类</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6EBD1A14">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木板、木条、木方、木片、木制板材、竹材等</w:t>
            </w:r>
          </w:p>
        </w:tc>
      </w:tr>
      <w:tr w14:paraId="3AA3E101">
        <w:tblPrEx>
          <w:tblCellMar>
            <w:top w:w="0" w:type="dxa"/>
            <w:left w:w="108" w:type="dxa"/>
            <w:bottom w:w="0" w:type="dxa"/>
            <w:right w:w="108" w:type="dxa"/>
          </w:tblCellMar>
        </w:tblPrEx>
        <w:trPr>
          <w:cantSplit/>
          <w:trHeight w:val="1137" w:hRule="atLeast"/>
          <w:jc w:val="center"/>
        </w:trPr>
        <w:tc>
          <w:tcPr>
            <w:tcW w:w="1172" w:type="dxa"/>
            <w:vMerge w:val="continue"/>
            <w:tcBorders>
              <w:left w:val="single" w:color="000000" w:sz="4" w:space="0"/>
              <w:right w:val="single" w:color="000000" w:sz="4" w:space="0"/>
            </w:tcBorders>
            <w:noWrap/>
            <w:vAlign w:val="center"/>
          </w:tcPr>
          <w:p w14:paraId="270EF82B">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1" w:type="dxa"/>
            <w:tcBorders>
              <w:top w:val="single" w:color="000000" w:sz="4" w:space="0"/>
              <w:left w:val="single" w:color="000000" w:sz="4" w:space="0"/>
              <w:bottom w:val="single" w:color="000000" w:sz="4" w:space="0"/>
              <w:right w:val="single" w:color="000000" w:sz="4" w:space="0"/>
            </w:tcBorders>
            <w:noWrap/>
            <w:vAlign w:val="center"/>
          </w:tcPr>
          <w:p w14:paraId="037A0CA7">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塑料类</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0FEBB604">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塑料瓶、塑料桶（盆）、塑料收纳盒、塑料包装、泡沫、编织袋、防尘网、安全网、机电管材等</w:t>
            </w:r>
          </w:p>
        </w:tc>
      </w:tr>
      <w:tr w14:paraId="700B7BFB">
        <w:tblPrEx>
          <w:tblCellMar>
            <w:top w:w="0" w:type="dxa"/>
            <w:left w:w="108" w:type="dxa"/>
            <w:bottom w:w="0" w:type="dxa"/>
            <w:right w:w="108" w:type="dxa"/>
          </w:tblCellMar>
        </w:tblPrEx>
        <w:trPr>
          <w:cantSplit/>
          <w:trHeight w:val="905" w:hRule="atLeast"/>
          <w:jc w:val="center"/>
        </w:trPr>
        <w:tc>
          <w:tcPr>
            <w:tcW w:w="1172" w:type="dxa"/>
            <w:vMerge w:val="continue"/>
            <w:tcBorders>
              <w:left w:val="single" w:color="000000" w:sz="4" w:space="0"/>
              <w:right w:val="single" w:color="000000" w:sz="4" w:space="0"/>
            </w:tcBorders>
            <w:noWrap/>
            <w:vAlign w:val="center"/>
          </w:tcPr>
          <w:p w14:paraId="5B701DB5">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1" w:type="dxa"/>
            <w:tcBorders>
              <w:top w:val="single" w:color="000000" w:sz="4" w:space="0"/>
              <w:left w:val="single" w:color="000000" w:sz="4" w:space="0"/>
              <w:bottom w:val="single" w:color="000000" w:sz="4" w:space="0"/>
              <w:right w:val="single" w:color="000000" w:sz="4" w:space="0"/>
            </w:tcBorders>
            <w:noWrap/>
            <w:vAlign w:val="center"/>
          </w:tcPr>
          <w:p w14:paraId="0120EBE9">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纸品类</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677681E9">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纸盒、纸箱、纸板、纸张等</w:t>
            </w:r>
          </w:p>
        </w:tc>
      </w:tr>
      <w:tr w14:paraId="61B42923">
        <w:tblPrEx>
          <w:tblCellMar>
            <w:top w:w="0" w:type="dxa"/>
            <w:left w:w="108" w:type="dxa"/>
            <w:bottom w:w="0" w:type="dxa"/>
            <w:right w:w="108" w:type="dxa"/>
          </w:tblCellMar>
        </w:tblPrEx>
        <w:trPr>
          <w:cantSplit/>
          <w:trHeight w:val="967" w:hRule="atLeast"/>
          <w:jc w:val="center"/>
        </w:trPr>
        <w:tc>
          <w:tcPr>
            <w:tcW w:w="1172" w:type="dxa"/>
            <w:vMerge w:val="continue"/>
            <w:tcBorders>
              <w:left w:val="single" w:color="000000" w:sz="4" w:space="0"/>
              <w:bottom w:val="single" w:color="000000" w:sz="4" w:space="0"/>
              <w:right w:val="single" w:color="000000" w:sz="4" w:space="0"/>
            </w:tcBorders>
            <w:noWrap/>
            <w:vAlign w:val="center"/>
          </w:tcPr>
          <w:p w14:paraId="157C834A">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31" w:type="dxa"/>
            <w:tcBorders>
              <w:top w:val="single" w:color="000000" w:sz="4" w:space="0"/>
              <w:left w:val="single" w:color="000000" w:sz="4" w:space="0"/>
              <w:bottom w:val="single" w:color="000000" w:sz="4" w:space="0"/>
              <w:right w:val="single" w:color="000000" w:sz="4" w:space="0"/>
            </w:tcBorders>
            <w:noWrap/>
            <w:vAlign w:val="center"/>
          </w:tcPr>
          <w:p w14:paraId="5A7DEFFD">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混合类</w:t>
            </w:r>
          </w:p>
        </w:tc>
        <w:tc>
          <w:tcPr>
            <w:tcW w:w="4976" w:type="dxa"/>
            <w:tcBorders>
              <w:top w:val="single" w:color="000000" w:sz="4" w:space="0"/>
              <w:left w:val="single" w:color="000000" w:sz="4" w:space="0"/>
              <w:bottom w:val="single" w:color="000000" w:sz="4" w:space="0"/>
              <w:right w:val="single" w:color="000000" w:sz="4" w:space="0"/>
            </w:tcBorders>
            <w:noWrap/>
            <w:vAlign w:val="center"/>
          </w:tcPr>
          <w:p w14:paraId="2F71F28A">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轻质金属夹芯板、石膏板等</w:t>
            </w:r>
          </w:p>
        </w:tc>
      </w:tr>
    </w:tbl>
    <w:p w14:paraId="00634F5A">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建（构）筑物拆除前应清除、腾空内部可移动的设施、设备、家具、物料等物件，清除、腾空时产生的生活垃圾（含大件垃圾），应当执行《</w:t>
      </w:r>
      <w:bookmarkStart w:id="38" w:name="OLE_LINK1"/>
      <w:r>
        <w:rPr>
          <w:rFonts w:hint="eastAsia" w:ascii="仿宋" w:hAnsi="仿宋" w:eastAsia="仿宋" w:cs="仿宋"/>
          <w:color w:val="auto"/>
          <w:spacing w:val="0"/>
          <w:sz w:val="32"/>
          <w:szCs w:val="32"/>
          <w:highlight w:val="none"/>
          <w:lang w:val="en-US" w:eastAsia="zh-CN"/>
        </w:rPr>
        <w:t>清远市城市生活垃圾管理条例</w:t>
      </w:r>
      <w:bookmarkEnd w:id="38"/>
      <w:r>
        <w:rPr>
          <w:rFonts w:hint="eastAsia" w:ascii="仿宋" w:hAnsi="仿宋" w:eastAsia="仿宋" w:cs="仿宋"/>
          <w:color w:val="auto"/>
          <w:spacing w:val="0"/>
          <w:sz w:val="32"/>
          <w:szCs w:val="32"/>
          <w:highlight w:val="none"/>
          <w:lang w:val="en-US" w:eastAsia="zh-CN"/>
        </w:rPr>
        <w:t>》等规定纳入生活垃圾分类管理。清除、腾空时产生的危险废物、工业固体废物，应当按各自标准并执行《中华人民共和国固体废物污染环境防治法》《广东省固体废物污染环境防治条例》等的管理规定。</w:t>
      </w:r>
    </w:p>
    <w:p w14:paraId="2A117334">
      <w:pPr>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br w:type="page"/>
      </w:r>
    </w:p>
    <w:p w14:paraId="1ABEAB7D">
      <w:pPr>
        <w:widowControl/>
        <w:overflowPunct w:val="0"/>
        <w:adjustRightInd/>
        <w:snapToGrid/>
        <w:spacing w:line="600" w:lineRule="exact"/>
        <w:ind w:firstLine="643" w:firstLineChars="200"/>
        <w:jc w:val="both"/>
        <w:rPr>
          <w:rFonts w:hint="eastAsia" w:ascii="仿宋" w:hAnsi="仿宋" w:eastAsia="仿宋" w:cs="仿宋"/>
          <w:color w:val="auto"/>
          <w:highlight w:val="none"/>
        </w:rPr>
      </w:pPr>
      <w:r>
        <w:rPr>
          <w:rFonts w:hint="eastAsia" w:ascii="仿宋" w:hAnsi="仿宋" w:eastAsia="仿宋" w:cs="仿宋"/>
          <w:b/>
          <w:bCs/>
          <w:i w:val="0"/>
          <w:iCs w:val="0"/>
          <w:color w:val="auto"/>
          <w:spacing w:val="0"/>
          <w:kern w:val="2"/>
          <w:sz w:val="32"/>
          <w:szCs w:val="32"/>
          <w:highlight w:val="none"/>
          <w:vertAlign w:val="baseline"/>
          <w:lang w:val="en-US" w:eastAsia="zh-CN" w:bidi="ar-SA"/>
        </w:rPr>
        <w:t>5.装修垃圾</w:t>
      </w:r>
    </w:p>
    <w:p w14:paraId="49F4F323">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装修垃圾分类类别及常见实物列举</w:t>
      </w:r>
    </w:p>
    <w:tbl>
      <w:tblPr>
        <w:tblStyle w:val="44"/>
        <w:tblW w:w="8519" w:type="dxa"/>
        <w:jc w:val="center"/>
        <w:tblLayout w:type="fixed"/>
        <w:tblCellMar>
          <w:top w:w="0" w:type="dxa"/>
          <w:left w:w="108" w:type="dxa"/>
          <w:bottom w:w="0" w:type="dxa"/>
          <w:right w:w="108" w:type="dxa"/>
        </w:tblCellMar>
      </w:tblPr>
      <w:tblGrid>
        <w:gridCol w:w="1178"/>
        <w:gridCol w:w="2341"/>
        <w:gridCol w:w="5000"/>
      </w:tblGrid>
      <w:tr w14:paraId="13463DC8">
        <w:tblPrEx>
          <w:tblCellMar>
            <w:top w:w="0" w:type="dxa"/>
            <w:left w:w="108" w:type="dxa"/>
            <w:bottom w:w="0" w:type="dxa"/>
            <w:right w:w="108" w:type="dxa"/>
          </w:tblCellMar>
        </w:tblPrEx>
        <w:trPr>
          <w:trHeight w:val="357" w:hRule="atLeast"/>
          <w:jc w:val="center"/>
        </w:trPr>
        <w:tc>
          <w:tcPr>
            <w:tcW w:w="3519" w:type="dxa"/>
            <w:gridSpan w:val="2"/>
            <w:tcBorders>
              <w:top w:val="single" w:color="000000" w:sz="4" w:space="0"/>
              <w:left w:val="single" w:color="000000" w:sz="4" w:space="0"/>
              <w:bottom w:val="single" w:color="000000" w:sz="4" w:space="0"/>
              <w:right w:val="single" w:color="000000" w:sz="4" w:space="0"/>
            </w:tcBorders>
            <w:noWrap/>
            <w:vAlign w:val="center"/>
          </w:tcPr>
          <w:p w14:paraId="035C4784">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类  别</w:t>
            </w:r>
          </w:p>
        </w:tc>
        <w:tc>
          <w:tcPr>
            <w:tcW w:w="5000" w:type="dxa"/>
            <w:tcBorders>
              <w:top w:val="single" w:color="000000" w:sz="4" w:space="0"/>
              <w:left w:val="single" w:color="000000" w:sz="4" w:space="0"/>
              <w:bottom w:val="single" w:color="000000" w:sz="4" w:space="0"/>
              <w:right w:val="single" w:color="000000" w:sz="4" w:space="0"/>
            </w:tcBorders>
            <w:noWrap/>
            <w:vAlign w:val="center"/>
          </w:tcPr>
          <w:p w14:paraId="3DC77AB7">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常见实物列举</w:t>
            </w:r>
          </w:p>
        </w:tc>
      </w:tr>
      <w:tr w14:paraId="12F2383B">
        <w:tblPrEx>
          <w:tblCellMar>
            <w:top w:w="0" w:type="dxa"/>
            <w:left w:w="108" w:type="dxa"/>
            <w:bottom w:w="0" w:type="dxa"/>
            <w:right w:w="108" w:type="dxa"/>
          </w:tblCellMar>
        </w:tblPrEx>
        <w:trPr>
          <w:trHeight w:val="912" w:hRule="atLeast"/>
          <w:jc w:val="center"/>
        </w:trPr>
        <w:tc>
          <w:tcPr>
            <w:tcW w:w="3519" w:type="dxa"/>
            <w:gridSpan w:val="2"/>
            <w:tcBorders>
              <w:top w:val="single" w:color="000000" w:sz="4" w:space="0"/>
              <w:left w:val="single" w:color="000000" w:sz="4" w:space="0"/>
              <w:bottom w:val="single" w:color="auto" w:sz="4" w:space="0"/>
              <w:right w:val="single" w:color="000000" w:sz="4" w:space="0"/>
            </w:tcBorders>
            <w:noWrap/>
            <w:vAlign w:val="center"/>
          </w:tcPr>
          <w:p w14:paraId="2AEF25CE">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金属类</w:t>
            </w:r>
          </w:p>
        </w:tc>
        <w:tc>
          <w:tcPr>
            <w:tcW w:w="5000" w:type="dxa"/>
            <w:tcBorders>
              <w:top w:val="single" w:color="000000" w:sz="4" w:space="0"/>
              <w:left w:val="single" w:color="000000" w:sz="4" w:space="0"/>
              <w:bottom w:val="single" w:color="auto" w:sz="4" w:space="0"/>
              <w:right w:val="single" w:color="000000" w:sz="4" w:space="0"/>
            </w:tcBorders>
            <w:noWrap/>
            <w:vAlign w:val="center"/>
          </w:tcPr>
          <w:p w14:paraId="47A014BF">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铁丝、角钢、型钢、废锯片、废钻头、废钉子、废铝材及边角料、不锈钢及边角料、电线、废铜材等</w:t>
            </w:r>
          </w:p>
        </w:tc>
      </w:tr>
      <w:tr w14:paraId="1D6D9344">
        <w:tblPrEx>
          <w:tblCellMar>
            <w:top w:w="0" w:type="dxa"/>
            <w:left w:w="108" w:type="dxa"/>
            <w:bottom w:w="0" w:type="dxa"/>
            <w:right w:w="108" w:type="dxa"/>
          </w:tblCellMar>
        </w:tblPrEx>
        <w:trPr>
          <w:trHeight w:val="912" w:hRule="atLeast"/>
          <w:jc w:val="center"/>
        </w:trPr>
        <w:tc>
          <w:tcPr>
            <w:tcW w:w="1178" w:type="dxa"/>
            <w:vMerge w:val="restart"/>
            <w:tcBorders>
              <w:top w:val="single" w:color="auto" w:sz="4" w:space="0"/>
              <w:left w:val="single" w:color="auto" w:sz="4" w:space="0"/>
              <w:bottom w:val="single" w:color="auto" w:sz="4" w:space="0"/>
              <w:right w:val="single" w:color="auto" w:sz="4" w:space="0"/>
            </w:tcBorders>
            <w:noWrap/>
            <w:vAlign w:val="center"/>
          </w:tcPr>
          <w:p w14:paraId="77461BA3">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无机</w:t>
            </w:r>
          </w:p>
          <w:p w14:paraId="20ACEBB9">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非金属类</w:t>
            </w:r>
          </w:p>
        </w:tc>
        <w:tc>
          <w:tcPr>
            <w:tcW w:w="2341" w:type="dxa"/>
            <w:tcBorders>
              <w:top w:val="single" w:color="auto" w:sz="4" w:space="0"/>
              <w:left w:val="single" w:color="auto" w:sz="4" w:space="0"/>
              <w:bottom w:val="single" w:color="auto" w:sz="4" w:space="0"/>
              <w:right w:val="single" w:color="auto" w:sz="4" w:space="0"/>
            </w:tcBorders>
            <w:noWrap/>
            <w:vAlign w:val="center"/>
          </w:tcPr>
          <w:p w14:paraId="38FE009A">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可资源化利用类</w:t>
            </w:r>
          </w:p>
        </w:tc>
        <w:tc>
          <w:tcPr>
            <w:tcW w:w="5000" w:type="dxa"/>
            <w:tcBorders>
              <w:top w:val="single" w:color="auto" w:sz="4" w:space="0"/>
              <w:left w:val="single" w:color="auto" w:sz="4" w:space="0"/>
              <w:bottom w:val="single" w:color="auto" w:sz="4" w:space="0"/>
              <w:right w:val="single" w:color="auto" w:sz="4" w:space="0"/>
            </w:tcBorders>
            <w:noWrap/>
            <w:vAlign w:val="center"/>
          </w:tcPr>
          <w:p w14:paraId="1AFEE79D">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混凝土、砂石、砂浆、腻子、砌块、水泥、砖瓦、瓷砖及边角料、大理石及边角料、石膏板等 </w:t>
            </w:r>
          </w:p>
        </w:tc>
      </w:tr>
      <w:tr w14:paraId="437C8029">
        <w:tblPrEx>
          <w:tblCellMar>
            <w:top w:w="0" w:type="dxa"/>
            <w:left w:w="108" w:type="dxa"/>
            <w:bottom w:w="0" w:type="dxa"/>
            <w:right w:w="108" w:type="dxa"/>
          </w:tblCellMar>
        </w:tblPrEx>
        <w:trPr>
          <w:trHeight w:val="912" w:hRule="atLeast"/>
          <w:jc w:val="center"/>
        </w:trPr>
        <w:tc>
          <w:tcPr>
            <w:tcW w:w="1178" w:type="dxa"/>
            <w:vMerge w:val="continue"/>
            <w:tcBorders>
              <w:top w:val="single" w:color="auto" w:sz="4" w:space="0"/>
              <w:left w:val="single" w:color="auto" w:sz="4" w:space="0"/>
              <w:bottom w:val="single" w:color="auto" w:sz="4" w:space="0"/>
              <w:right w:val="single" w:color="auto" w:sz="4" w:space="0"/>
            </w:tcBorders>
            <w:noWrap/>
            <w:vAlign w:val="center"/>
          </w:tcPr>
          <w:p w14:paraId="4B6DF034">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41" w:type="dxa"/>
            <w:tcBorders>
              <w:top w:val="single" w:color="auto" w:sz="4" w:space="0"/>
              <w:left w:val="single" w:color="auto" w:sz="4" w:space="0"/>
              <w:bottom w:val="single" w:color="auto" w:sz="4" w:space="0"/>
              <w:right w:val="single" w:color="auto" w:sz="4" w:space="0"/>
            </w:tcBorders>
            <w:noWrap/>
            <w:vAlign w:val="center"/>
          </w:tcPr>
          <w:p w14:paraId="165F8A16">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可回收类</w:t>
            </w:r>
          </w:p>
        </w:tc>
        <w:tc>
          <w:tcPr>
            <w:tcW w:w="5000" w:type="dxa"/>
            <w:tcBorders>
              <w:top w:val="single" w:color="auto" w:sz="4" w:space="0"/>
              <w:left w:val="single" w:color="auto" w:sz="4" w:space="0"/>
              <w:bottom w:val="single" w:color="auto" w:sz="4" w:space="0"/>
              <w:right w:val="single" w:color="auto" w:sz="4" w:space="0"/>
            </w:tcBorders>
            <w:noWrap/>
            <w:vAlign w:val="center"/>
          </w:tcPr>
          <w:p w14:paraId="61587DE3">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玻璃碎片、平板玻璃等</w:t>
            </w:r>
          </w:p>
        </w:tc>
      </w:tr>
      <w:tr w14:paraId="50545CB2">
        <w:tblPrEx>
          <w:tblCellMar>
            <w:top w:w="0" w:type="dxa"/>
            <w:left w:w="108" w:type="dxa"/>
            <w:bottom w:w="0" w:type="dxa"/>
            <w:right w:w="108" w:type="dxa"/>
          </w:tblCellMar>
        </w:tblPrEx>
        <w:trPr>
          <w:trHeight w:val="912" w:hRule="atLeast"/>
          <w:jc w:val="center"/>
        </w:trPr>
        <w:tc>
          <w:tcPr>
            <w:tcW w:w="1178" w:type="dxa"/>
            <w:vMerge w:val="restart"/>
            <w:tcBorders>
              <w:top w:val="single" w:color="auto" w:sz="4" w:space="0"/>
              <w:left w:val="single" w:color="auto" w:sz="4" w:space="0"/>
              <w:bottom w:val="single" w:color="auto" w:sz="4" w:space="0"/>
              <w:right w:val="single" w:color="auto" w:sz="4" w:space="0"/>
            </w:tcBorders>
            <w:noWrap/>
            <w:vAlign w:val="center"/>
          </w:tcPr>
          <w:p w14:paraId="5FC7F4BC">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其他类</w:t>
            </w:r>
          </w:p>
        </w:tc>
        <w:tc>
          <w:tcPr>
            <w:tcW w:w="2341" w:type="dxa"/>
            <w:tcBorders>
              <w:top w:val="single" w:color="auto" w:sz="4" w:space="0"/>
              <w:left w:val="single" w:color="auto" w:sz="4" w:space="0"/>
              <w:bottom w:val="single" w:color="auto" w:sz="4" w:space="0"/>
              <w:right w:val="single" w:color="auto" w:sz="4" w:space="0"/>
            </w:tcBorders>
            <w:noWrap/>
            <w:vAlign w:val="center"/>
          </w:tcPr>
          <w:p w14:paraId="45BBBF5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竹木类</w:t>
            </w:r>
          </w:p>
        </w:tc>
        <w:tc>
          <w:tcPr>
            <w:tcW w:w="5000" w:type="dxa"/>
            <w:tcBorders>
              <w:top w:val="single" w:color="auto" w:sz="4" w:space="0"/>
              <w:left w:val="single" w:color="auto" w:sz="4" w:space="0"/>
              <w:bottom w:val="single" w:color="auto" w:sz="4" w:space="0"/>
              <w:right w:val="single" w:color="auto" w:sz="4" w:space="0"/>
            </w:tcBorders>
            <w:noWrap/>
            <w:vAlign w:val="center"/>
          </w:tcPr>
          <w:p w14:paraId="14BC64E0">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 xml:space="preserve">木板、木条、木方、木片、木屑、木制板材、木制包装、竹材等 </w:t>
            </w:r>
          </w:p>
        </w:tc>
      </w:tr>
      <w:tr w14:paraId="014991E2">
        <w:tblPrEx>
          <w:tblCellMar>
            <w:top w:w="0" w:type="dxa"/>
            <w:left w:w="108" w:type="dxa"/>
            <w:bottom w:w="0" w:type="dxa"/>
            <w:right w:w="108" w:type="dxa"/>
          </w:tblCellMar>
        </w:tblPrEx>
        <w:trPr>
          <w:trHeight w:val="912" w:hRule="atLeast"/>
          <w:jc w:val="center"/>
        </w:trPr>
        <w:tc>
          <w:tcPr>
            <w:tcW w:w="1178" w:type="dxa"/>
            <w:vMerge w:val="continue"/>
            <w:tcBorders>
              <w:top w:val="single" w:color="auto" w:sz="4" w:space="0"/>
              <w:left w:val="single" w:color="auto" w:sz="4" w:space="0"/>
              <w:bottom w:val="single" w:color="auto" w:sz="4" w:space="0"/>
              <w:right w:val="single" w:color="auto" w:sz="4" w:space="0"/>
            </w:tcBorders>
            <w:noWrap/>
            <w:vAlign w:val="center"/>
          </w:tcPr>
          <w:p w14:paraId="259A1604">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41" w:type="dxa"/>
            <w:tcBorders>
              <w:top w:val="single" w:color="auto" w:sz="4" w:space="0"/>
              <w:left w:val="single" w:color="auto" w:sz="4" w:space="0"/>
              <w:bottom w:val="single" w:color="auto" w:sz="4" w:space="0"/>
              <w:right w:val="single" w:color="auto" w:sz="4" w:space="0"/>
            </w:tcBorders>
            <w:noWrap/>
            <w:vAlign w:val="center"/>
          </w:tcPr>
          <w:p w14:paraId="46E478E1">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塑料类</w:t>
            </w:r>
          </w:p>
        </w:tc>
        <w:tc>
          <w:tcPr>
            <w:tcW w:w="5000" w:type="dxa"/>
            <w:tcBorders>
              <w:top w:val="single" w:color="auto" w:sz="4" w:space="0"/>
              <w:left w:val="single" w:color="auto" w:sz="4" w:space="0"/>
              <w:bottom w:val="single" w:color="auto" w:sz="4" w:space="0"/>
              <w:right w:val="single" w:color="auto" w:sz="4" w:space="0"/>
            </w:tcBorders>
            <w:noWrap/>
            <w:vAlign w:val="center"/>
          </w:tcPr>
          <w:p w14:paraId="3249DF6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塑料瓶、塑料桶（盆）、塑料包装、泡沫等</w:t>
            </w:r>
          </w:p>
        </w:tc>
      </w:tr>
      <w:tr w14:paraId="78F9BAAE">
        <w:tblPrEx>
          <w:tblCellMar>
            <w:top w:w="0" w:type="dxa"/>
            <w:left w:w="108" w:type="dxa"/>
            <w:bottom w:w="0" w:type="dxa"/>
            <w:right w:w="108" w:type="dxa"/>
          </w:tblCellMar>
        </w:tblPrEx>
        <w:trPr>
          <w:trHeight w:val="912" w:hRule="atLeast"/>
          <w:jc w:val="center"/>
        </w:trPr>
        <w:tc>
          <w:tcPr>
            <w:tcW w:w="1178" w:type="dxa"/>
            <w:vMerge w:val="continue"/>
            <w:tcBorders>
              <w:top w:val="single" w:color="auto" w:sz="4" w:space="0"/>
              <w:left w:val="single" w:color="auto" w:sz="4" w:space="0"/>
              <w:bottom w:val="single" w:color="auto" w:sz="4" w:space="0"/>
              <w:right w:val="single" w:color="auto" w:sz="4" w:space="0"/>
            </w:tcBorders>
            <w:noWrap/>
            <w:vAlign w:val="center"/>
          </w:tcPr>
          <w:p w14:paraId="2B9F4706">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41" w:type="dxa"/>
            <w:tcBorders>
              <w:top w:val="single" w:color="auto" w:sz="4" w:space="0"/>
              <w:left w:val="single" w:color="auto" w:sz="4" w:space="0"/>
              <w:bottom w:val="single" w:color="auto" w:sz="4" w:space="0"/>
              <w:right w:val="single" w:color="auto" w:sz="4" w:space="0"/>
            </w:tcBorders>
            <w:noWrap/>
            <w:vAlign w:val="center"/>
          </w:tcPr>
          <w:p w14:paraId="56F7FCA2">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纸品类</w:t>
            </w:r>
          </w:p>
        </w:tc>
        <w:tc>
          <w:tcPr>
            <w:tcW w:w="5000" w:type="dxa"/>
            <w:tcBorders>
              <w:top w:val="single" w:color="auto" w:sz="4" w:space="0"/>
              <w:left w:val="single" w:color="auto" w:sz="4" w:space="0"/>
              <w:bottom w:val="single" w:color="auto" w:sz="4" w:space="0"/>
              <w:right w:val="single" w:color="auto" w:sz="4" w:space="0"/>
            </w:tcBorders>
            <w:noWrap/>
            <w:vAlign w:val="center"/>
          </w:tcPr>
          <w:p w14:paraId="1F37BB31">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纸盒、纸箱、纸板、纸张等</w:t>
            </w:r>
          </w:p>
        </w:tc>
      </w:tr>
      <w:tr w14:paraId="7C8D60ED">
        <w:tblPrEx>
          <w:tblCellMar>
            <w:top w:w="0" w:type="dxa"/>
            <w:left w:w="108" w:type="dxa"/>
            <w:bottom w:w="0" w:type="dxa"/>
            <w:right w:w="108" w:type="dxa"/>
          </w:tblCellMar>
        </w:tblPrEx>
        <w:trPr>
          <w:trHeight w:val="920" w:hRule="atLeast"/>
          <w:jc w:val="center"/>
        </w:trPr>
        <w:tc>
          <w:tcPr>
            <w:tcW w:w="1178" w:type="dxa"/>
            <w:vMerge w:val="continue"/>
            <w:tcBorders>
              <w:top w:val="single" w:color="auto" w:sz="4" w:space="0"/>
              <w:left w:val="single" w:color="auto" w:sz="4" w:space="0"/>
              <w:bottom w:val="single" w:color="auto" w:sz="4" w:space="0"/>
              <w:right w:val="single" w:color="auto" w:sz="4" w:space="0"/>
            </w:tcBorders>
            <w:noWrap/>
            <w:vAlign w:val="center"/>
          </w:tcPr>
          <w:p w14:paraId="251F0F01">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p>
        </w:tc>
        <w:tc>
          <w:tcPr>
            <w:tcW w:w="2341" w:type="dxa"/>
            <w:tcBorders>
              <w:top w:val="single" w:color="auto" w:sz="4" w:space="0"/>
              <w:left w:val="single" w:color="auto" w:sz="4" w:space="0"/>
              <w:bottom w:val="single" w:color="auto" w:sz="4" w:space="0"/>
              <w:right w:val="single" w:color="auto" w:sz="4" w:space="0"/>
            </w:tcBorders>
            <w:noWrap/>
            <w:vAlign w:val="center"/>
          </w:tcPr>
          <w:p w14:paraId="0D627C2D">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混合类</w:t>
            </w:r>
          </w:p>
        </w:tc>
        <w:tc>
          <w:tcPr>
            <w:tcW w:w="5000" w:type="dxa"/>
            <w:tcBorders>
              <w:top w:val="single" w:color="auto" w:sz="4" w:space="0"/>
              <w:left w:val="single" w:color="auto" w:sz="4" w:space="0"/>
              <w:bottom w:val="single" w:color="auto" w:sz="4" w:space="0"/>
              <w:right w:val="single" w:color="auto" w:sz="4" w:space="0"/>
            </w:tcBorders>
            <w:noWrap/>
            <w:vAlign w:val="center"/>
          </w:tcPr>
          <w:p w14:paraId="249D7436">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废毛刷、废毛毡、轻质金属夹芯板等</w:t>
            </w:r>
          </w:p>
        </w:tc>
      </w:tr>
      <w:tr w14:paraId="6384E90C">
        <w:tblPrEx>
          <w:tblCellMar>
            <w:top w:w="0" w:type="dxa"/>
            <w:left w:w="108" w:type="dxa"/>
            <w:bottom w:w="0" w:type="dxa"/>
            <w:right w:w="108" w:type="dxa"/>
          </w:tblCellMar>
        </w:tblPrEx>
        <w:trPr>
          <w:trHeight w:val="920" w:hRule="atLeast"/>
          <w:jc w:val="center"/>
        </w:trPr>
        <w:tc>
          <w:tcPr>
            <w:tcW w:w="3519" w:type="dxa"/>
            <w:gridSpan w:val="2"/>
            <w:tcBorders>
              <w:top w:val="single" w:color="auto" w:sz="4" w:space="0"/>
              <w:left w:val="single" w:color="auto" w:sz="4" w:space="0"/>
              <w:bottom w:val="single" w:color="auto" w:sz="4" w:space="0"/>
              <w:right w:val="single" w:color="auto" w:sz="4" w:space="0"/>
            </w:tcBorders>
            <w:noWrap/>
            <w:vAlign w:val="center"/>
          </w:tcPr>
          <w:p w14:paraId="040DF87E">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有毒有害类</w:t>
            </w:r>
          </w:p>
        </w:tc>
        <w:tc>
          <w:tcPr>
            <w:tcW w:w="5000" w:type="dxa"/>
            <w:tcBorders>
              <w:top w:val="single" w:color="auto" w:sz="4" w:space="0"/>
              <w:left w:val="single" w:color="auto" w:sz="4" w:space="0"/>
              <w:bottom w:val="single" w:color="auto" w:sz="4" w:space="0"/>
              <w:right w:val="single" w:color="auto" w:sz="4" w:space="0"/>
            </w:tcBorders>
            <w:noWrap/>
            <w:vAlign w:val="center"/>
          </w:tcPr>
          <w:p w14:paraId="23AF596C">
            <w:pPr>
              <w:keepNext w:val="0"/>
              <w:keepLines w:val="0"/>
              <w:pageBreakBefore w:val="0"/>
              <w:widowControl/>
              <w:shd w:val="clear" w:color="auto" w:fill="auto"/>
              <w:kinsoku/>
              <w:wordWrap/>
              <w:overflowPunct/>
              <w:topLinePunct w:val="0"/>
              <w:autoSpaceDE/>
              <w:autoSpaceDN/>
              <w:bidi w:val="0"/>
              <w:adjustRightInd/>
              <w:snapToGrid/>
              <w:spacing w:line="360" w:lineRule="exact"/>
              <w:jc w:val="center"/>
              <w:textAlignment w:val="center"/>
              <w:rPr>
                <w:rFonts w:hint="eastAsia" w:ascii="仿宋" w:hAnsi="仿宋" w:eastAsia="仿宋" w:cs="仿宋"/>
                <w:color w:val="auto"/>
                <w:spacing w:val="0"/>
                <w:kern w:val="2"/>
                <w:sz w:val="28"/>
                <w:szCs w:val="28"/>
                <w:highlight w:val="none"/>
                <w:lang w:val="en-US" w:eastAsia="zh-CN" w:bidi="ar-SA"/>
              </w:rPr>
            </w:pPr>
            <w:r>
              <w:rPr>
                <w:rFonts w:hint="eastAsia" w:ascii="仿宋" w:hAnsi="仿宋" w:eastAsia="仿宋" w:cs="仿宋"/>
                <w:color w:val="auto"/>
                <w:spacing w:val="0"/>
                <w:kern w:val="2"/>
                <w:sz w:val="28"/>
                <w:szCs w:val="28"/>
                <w:highlight w:val="none"/>
                <w:lang w:val="en-US" w:eastAsia="zh-CN" w:bidi="ar-SA"/>
              </w:rPr>
              <w:t>油漆及其包装物、涂料及其包装物、胶水及其包装物、灯管灯泡等</w:t>
            </w:r>
          </w:p>
        </w:tc>
      </w:tr>
    </w:tbl>
    <w:p w14:paraId="3FA6FC84">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房屋装饰装修前在清除、腾空等环节产生的生活垃圾（含大件垃圾），以及在装饰装修过程中产生的生活垃圾（含大件垃圾），应当执行《清远市城市生活垃圾管理条例》等规定纳入生活垃圾分类管理。</w:t>
      </w:r>
    </w:p>
    <w:p w14:paraId="3C846B77">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39" w:name="_Toc3986"/>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开展绿色策划</w:t>
      </w:r>
      <w:bookmarkEnd w:id="39"/>
    </w:p>
    <w:p w14:paraId="6AFFF514">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1.优化装配式建筑实施政策。</w:t>
      </w:r>
      <w:r>
        <w:rPr>
          <w:rFonts w:hint="eastAsia" w:ascii="仿宋" w:hAnsi="仿宋" w:eastAsia="仿宋" w:cs="仿宋"/>
          <w:b w:val="0"/>
          <w:bCs w:val="0"/>
          <w:i w:val="0"/>
          <w:iCs w:val="0"/>
          <w:color w:val="auto"/>
          <w:spacing w:val="0"/>
          <w:kern w:val="2"/>
          <w:sz w:val="32"/>
          <w:szCs w:val="32"/>
          <w:highlight w:val="none"/>
          <w:vertAlign w:val="baseline"/>
          <w:lang w:val="en-US" w:eastAsia="zh-CN" w:bidi="ar-SA"/>
        </w:rPr>
        <w:t>分阶段逐步扩大全市装配式建筑实施范围，提高装配式建筑实施标准，逐步提高预制率要求，大力推广装配化装修，扩大高质量的新型建筑工业化项目应用场景，政府投资项目的相关建设单位要将相关要求纳入项目建议书、项目策划书等前期文件，相关政府职能部门要将相关要求写入用地规划条件和土地出让合同等，为新型建筑工业化快速高质量发展提供载体和支撑</w:t>
      </w:r>
      <w:r>
        <w:rPr>
          <w:rFonts w:hint="eastAsia" w:ascii="仿宋" w:hAnsi="仿宋" w:eastAsia="仿宋" w:cs="仿宋"/>
          <w:color w:val="auto"/>
          <w:spacing w:val="0"/>
          <w:sz w:val="32"/>
          <w:szCs w:val="32"/>
          <w:highlight w:val="none"/>
          <w:lang w:val="en-US" w:eastAsia="zh-CN"/>
        </w:rPr>
        <w:t>。</w:t>
      </w:r>
    </w:p>
    <w:p w14:paraId="5FB0F4CC">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2.推广工程总承包管理。</w:t>
      </w:r>
      <w:r>
        <w:rPr>
          <w:rFonts w:hint="eastAsia" w:ascii="仿宋" w:hAnsi="仿宋" w:eastAsia="仿宋" w:cs="仿宋"/>
          <w:color w:val="auto"/>
          <w:spacing w:val="0"/>
          <w:sz w:val="32"/>
          <w:szCs w:val="32"/>
          <w:highlight w:val="none"/>
          <w:lang w:val="en-US" w:eastAsia="zh-CN"/>
        </w:rPr>
        <w:t>对建筑功能、建造标准、技术质量、工期等具有明确要求的项目应积极采用工程总承包模式。鼓励建设单位健全工程总承包相关的招投标、技术变更、商务变更等管理制度，落实总承包单位在工程质量安全、进度控制、成本管理等方面的责任。积极推进建筑师负责制、全过程工程咨询模式。</w:t>
      </w:r>
    </w:p>
    <w:p w14:paraId="127D5C8E">
      <w:pPr>
        <w:widowControl/>
        <w:shd w:val="clear" w:color="auto" w:fill="auto"/>
        <w:overflowPunct w:val="0"/>
        <w:adjustRightInd/>
        <w:snapToGrid/>
        <w:spacing w:line="600" w:lineRule="exact"/>
        <w:ind w:firstLine="643" w:firstLineChars="200"/>
        <w:jc w:val="both"/>
        <w:rPr>
          <w:rFonts w:hint="eastAsia" w:ascii="仿宋" w:hAnsi="仿宋" w:eastAsia="仿宋" w:cs="仿宋"/>
          <w:b w:val="0"/>
          <w:bCs w:val="0"/>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3.完善新型建筑工业化项目综合评价体系。</w:t>
      </w:r>
      <w:r>
        <w:rPr>
          <w:rFonts w:hint="eastAsia" w:ascii="仿宋" w:hAnsi="仿宋" w:eastAsia="仿宋" w:cs="仿宋"/>
          <w:b w:val="0"/>
          <w:bCs w:val="0"/>
          <w:i w:val="0"/>
          <w:iCs w:val="0"/>
          <w:color w:val="auto"/>
          <w:spacing w:val="0"/>
          <w:kern w:val="2"/>
          <w:sz w:val="32"/>
          <w:szCs w:val="32"/>
          <w:highlight w:val="none"/>
          <w:vertAlign w:val="baseline"/>
          <w:lang w:val="en-US" w:eastAsia="zh-CN" w:bidi="ar-SA"/>
        </w:rPr>
        <w:t>在装配率评价基础上，引入全生命周期效益评价，突出装配化装修、信息化技术应用情况。在招投标阶段，建设单位可将全生命周期成本效益作为评价技术方案的重要因素。引导建设单位和设计单位进行全生命周期碳足迹的核算与减排。对于装配式混凝土建筑，引入预制率要求，适时发布装配率、预制率相关解释文件，积极推进成熟竖向预制构件技术体系在</w:t>
      </w:r>
      <w:r>
        <w:rPr>
          <w:rFonts w:hint="eastAsia" w:ascii="仿宋" w:hAnsi="仿宋" w:cs="仿宋"/>
          <w:b w:val="0"/>
          <w:bCs w:val="0"/>
          <w:i w:val="0"/>
          <w:iCs w:val="0"/>
          <w:color w:val="auto"/>
          <w:spacing w:val="0"/>
          <w:kern w:val="2"/>
          <w:sz w:val="32"/>
          <w:szCs w:val="32"/>
          <w:highlight w:val="none"/>
          <w:vertAlign w:val="baseline"/>
          <w:lang w:val="en-US" w:eastAsia="zh-CN" w:bidi="ar-SA"/>
        </w:rPr>
        <w:t>区</w:t>
      </w:r>
      <w:r>
        <w:rPr>
          <w:rFonts w:hint="eastAsia" w:ascii="仿宋" w:hAnsi="仿宋" w:eastAsia="仿宋" w:cs="仿宋"/>
          <w:b w:val="0"/>
          <w:bCs w:val="0"/>
          <w:i w:val="0"/>
          <w:iCs w:val="0"/>
          <w:color w:val="auto"/>
          <w:spacing w:val="0"/>
          <w:kern w:val="2"/>
          <w:sz w:val="32"/>
          <w:szCs w:val="32"/>
          <w:highlight w:val="none"/>
          <w:vertAlign w:val="baseline"/>
          <w:lang w:val="en-US" w:eastAsia="zh-CN" w:bidi="ar-SA"/>
        </w:rPr>
        <w:t>内的应用。</w:t>
      </w:r>
    </w:p>
    <w:p w14:paraId="603B0606">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4.建立与建筑工业化、智慧化、集成化相适应的造价管理体系。</w:t>
      </w:r>
      <w:r>
        <w:rPr>
          <w:rFonts w:hint="eastAsia" w:ascii="仿宋" w:hAnsi="仿宋" w:eastAsia="仿宋" w:cs="仿宋"/>
          <w:b w:val="0"/>
          <w:bCs w:val="0"/>
          <w:i w:val="0"/>
          <w:iCs w:val="0"/>
          <w:color w:val="auto"/>
          <w:spacing w:val="0"/>
          <w:kern w:val="2"/>
          <w:sz w:val="32"/>
          <w:szCs w:val="32"/>
          <w:highlight w:val="none"/>
          <w:vertAlign w:val="baseline"/>
          <w:lang w:val="en-US" w:eastAsia="zh-CN" w:bidi="ar-SA"/>
        </w:rPr>
        <w:t>以保障性住房、村镇工业集聚区升级改造（钢结构装配式）为切入点，基于建筑工业化、智慧化、集成化的特点，实现建筑计量计价方式“由分到合、由散到整”的转变，逐步建立与构件型装配式建筑、模块化建筑、装配化装修相配套的标准化、系列化工程造价管理体系</w:t>
      </w:r>
      <w:r>
        <w:rPr>
          <w:rFonts w:hint="eastAsia" w:ascii="仿宋" w:hAnsi="仿宋" w:eastAsia="仿宋" w:cs="仿宋"/>
          <w:color w:val="auto"/>
          <w:spacing w:val="0"/>
          <w:sz w:val="32"/>
          <w:szCs w:val="32"/>
          <w:highlight w:val="none"/>
          <w:lang w:val="en-US" w:eastAsia="zh-CN"/>
        </w:rPr>
        <w:t>。</w:t>
      </w:r>
    </w:p>
    <w:p w14:paraId="3BB2C1BE">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5.建立新技术新产品应用论证机制。</w:t>
      </w:r>
      <w:r>
        <w:rPr>
          <w:rFonts w:hint="eastAsia" w:ascii="仿宋" w:hAnsi="仿宋" w:eastAsia="仿宋" w:cs="仿宋"/>
          <w:b w:val="0"/>
          <w:bCs w:val="0"/>
          <w:i w:val="0"/>
          <w:iCs w:val="0"/>
          <w:color w:val="auto"/>
          <w:spacing w:val="0"/>
          <w:kern w:val="2"/>
          <w:sz w:val="32"/>
          <w:szCs w:val="32"/>
          <w:highlight w:val="none"/>
          <w:vertAlign w:val="baseline"/>
          <w:lang w:val="en-US" w:eastAsia="zh-CN" w:bidi="ar-SA"/>
        </w:rPr>
        <w:t>大力支持市场主体对新技术的研发和应用，依托市建设科学技术委员会，对新型建筑工业化相关的新技术和新产品开展技术综合论证，规范评价和应用流程，对于通过综合论证的新技术和新产品，允许在建筑领域先行先试，给予报建、监管、验收等方面支持</w:t>
      </w:r>
      <w:r>
        <w:rPr>
          <w:rFonts w:hint="eastAsia" w:ascii="仿宋" w:hAnsi="仿宋" w:eastAsia="仿宋" w:cs="仿宋"/>
          <w:color w:val="auto"/>
          <w:spacing w:val="0"/>
          <w:sz w:val="32"/>
          <w:szCs w:val="32"/>
          <w:highlight w:val="none"/>
          <w:lang w:val="en-US" w:eastAsia="zh-CN"/>
        </w:rPr>
        <w:t>。</w:t>
      </w:r>
    </w:p>
    <w:p w14:paraId="7B76350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0" w:name="_Toc2315"/>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实施绿色设计</w:t>
      </w:r>
      <w:bookmarkEnd w:id="40"/>
    </w:p>
    <w:p w14:paraId="6BF8FA02">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1.树立全生命周期理念。</w:t>
      </w:r>
      <w:r>
        <w:rPr>
          <w:rFonts w:hint="eastAsia" w:ascii="仿宋" w:hAnsi="仿宋" w:eastAsia="仿宋" w:cs="仿宋"/>
          <w:color w:val="auto"/>
          <w:spacing w:val="0"/>
          <w:sz w:val="32"/>
          <w:szCs w:val="32"/>
          <w:highlight w:val="none"/>
          <w:lang w:val="en-US" w:eastAsia="zh-CN"/>
        </w:rPr>
        <w:t>统筹考虑工程全生命周期的耐久性、可持续性，鼓励设计单位采用高强、高性能、高耐久性和可循环材料以及先进适用技术体系等开展工程设计。</w:t>
      </w:r>
    </w:p>
    <w:p w14:paraId="2E234478">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2.提高设计质量。</w:t>
      </w:r>
      <w:r>
        <w:rPr>
          <w:rFonts w:hint="eastAsia" w:ascii="仿宋" w:hAnsi="仿宋" w:eastAsia="仿宋" w:cs="仿宋"/>
          <w:color w:val="auto"/>
          <w:spacing w:val="0"/>
          <w:sz w:val="32"/>
          <w:szCs w:val="32"/>
          <w:highlight w:val="none"/>
          <w:lang w:val="en-US" w:eastAsia="zh-CN"/>
        </w:rPr>
        <w:t>设计单位应遵从“安全、适用、经济、环保、可持续发展”的理念进行设计；根据建设内容及场地地形进行科学合理的总图布置，因地制宜，节约和充分利用土地资源。平面布置应规范、紧凑、协调，应尽量做到“少挖少填、土石方平衡”，最大限度地降低土石方的外运及购置量；充分考虑施工现场建筑垃圾减量化要求，加强设计施工协同配合，保证设计深度满足施工需要，避免采用难以施工的复杂构造，减少不必要的无功能需要的装饰构件，减少施工过程设计变更；积极推进建筑、结构、机电、装修、景观全专业一体化协同设计，推行标准化设计；根据使用要求进行建筑设计，优先选用建筑垃圾再生产品和可以回收利用的建筑材料；在施工图设计文件中说明建筑垃圾再生产品的使用部位、应用比例和技术指标，并在设计交底时予以明确；执行模数设计，简化建筑物形状，减少、优化部件或组合件的尺寸、种类，推行装配式建筑；明确要求建设工程采用预拌混凝土</w:t>
      </w:r>
      <w:r>
        <w:rPr>
          <w:rFonts w:hint="eastAsia" w:ascii="仿宋" w:hAnsi="仿宋" w:cs="仿宋"/>
          <w:color w:val="auto"/>
          <w:spacing w:val="0"/>
          <w:sz w:val="32"/>
          <w:szCs w:val="32"/>
          <w:highlight w:val="none"/>
          <w:lang w:val="en-US" w:eastAsia="zh-CN"/>
        </w:rPr>
        <w:t>、</w:t>
      </w:r>
      <w:r>
        <w:rPr>
          <w:rFonts w:hint="eastAsia" w:ascii="仿宋" w:hAnsi="仿宋" w:eastAsia="仿宋" w:cs="仿宋"/>
          <w:color w:val="auto"/>
          <w:spacing w:val="0"/>
          <w:sz w:val="32"/>
          <w:szCs w:val="32"/>
          <w:highlight w:val="none"/>
          <w:lang w:val="en-US" w:eastAsia="zh-CN"/>
        </w:rPr>
        <w:t>预拌砂浆，推行新型墙体材料和新工艺。施工图审查机构应按照要求对设计文件进行审查，落实设计减排的要求。</w:t>
      </w:r>
    </w:p>
    <w:p w14:paraId="1C6FA40D">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1" w:name="_Toc31022"/>
      <w:r>
        <w:rPr>
          <w:rFonts w:hint="eastAsia" w:ascii="仿宋" w:hAnsi="仿宋" w:eastAsia="方正楷体_GB2312" w:cs="仿宋"/>
          <w:b/>
          <w:bCs w:val="0"/>
          <w:color w:val="auto"/>
          <w:spacing w:val="0"/>
          <w:kern w:val="2"/>
          <w:sz w:val="32"/>
          <w:szCs w:val="32"/>
          <w:lang w:val="en-US" w:eastAsia="zh-CN" w:bidi="ar-SA"/>
        </w:rPr>
        <w:t>（六）</w:t>
      </w:r>
      <w:r>
        <w:rPr>
          <w:rFonts w:hint="eastAsia" w:ascii="仿宋" w:hAnsi="仿宋" w:eastAsia="仿宋" w:cs="仿宋"/>
          <w:b/>
          <w:bCs w:val="0"/>
          <w:color w:val="auto"/>
          <w:spacing w:val="0"/>
          <w:kern w:val="2"/>
          <w:sz w:val="32"/>
          <w:szCs w:val="32"/>
          <w:highlight w:val="none"/>
          <w:lang w:val="en-US" w:eastAsia="zh-CN" w:bidi="ar-SA"/>
        </w:rPr>
        <w:t>推广绿色施工</w:t>
      </w:r>
      <w:bookmarkEnd w:id="41"/>
    </w:p>
    <w:p w14:paraId="672536EE">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1.编制专项方案。</w:t>
      </w:r>
      <w:r>
        <w:rPr>
          <w:rFonts w:hint="eastAsia" w:ascii="仿宋" w:hAnsi="仿宋" w:eastAsia="仿宋" w:cs="仿宋"/>
          <w:color w:val="auto"/>
          <w:spacing w:val="0"/>
          <w:sz w:val="32"/>
          <w:szCs w:val="32"/>
          <w:highlight w:val="none"/>
          <w:lang w:val="en-US" w:eastAsia="zh-CN"/>
        </w:rPr>
        <w:t>施工单位需组织编制施工现场建筑垃圾减量化专项方案，明确建筑垃圾减量化目标和职责分工，提出源头减量、分类管理、就地处置、排放控制的具体措施，明确职责分工，结合工程实际制定有针对性的技术、管理和保障措施。</w:t>
      </w:r>
    </w:p>
    <w:p w14:paraId="2463FC36">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2.做好施工组织设计。</w:t>
      </w:r>
      <w:r>
        <w:rPr>
          <w:rFonts w:hint="eastAsia" w:ascii="仿宋" w:hAnsi="仿宋" w:eastAsia="仿宋" w:cs="仿宋"/>
          <w:color w:val="auto"/>
          <w:spacing w:val="0"/>
          <w:sz w:val="32"/>
          <w:szCs w:val="32"/>
          <w:highlight w:val="none"/>
          <w:lang w:val="en-US" w:eastAsia="zh-CN"/>
        </w:rPr>
        <w:t>施工单位应建立健全施工现场建筑垃圾减量化与分类排放管理体系，充分应用新技术、新材料、新工艺、新装备，落实建筑垃圾减量化与分类排放专项方案，有效减少施工现场建筑垃圾排放；结合工程加工、运输、安装方案和施工工艺要求，细化节点构造和具体做法，并结合建（构）筑物、管网等的特点，优化施工方案，按照有利于后续建筑垃圾回收利用的原则，进行施工组织设计，合理确定施工工序，实现精细化管理。</w:t>
      </w:r>
    </w:p>
    <w:p w14:paraId="02588322">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3.提高临时设施和周转材料的重复利用率。</w:t>
      </w:r>
      <w:r>
        <w:rPr>
          <w:rFonts w:hint="eastAsia" w:ascii="仿宋" w:hAnsi="仿宋" w:eastAsia="仿宋" w:cs="仿宋"/>
          <w:color w:val="auto"/>
          <w:spacing w:val="0"/>
          <w:sz w:val="32"/>
          <w:szCs w:val="32"/>
          <w:highlight w:val="none"/>
          <w:lang w:val="en-US" w:eastAsia="zh-CN"/>
        </w:rPr>
        <w:t>施工现场办公用房、宿舍、围挡、大门、工具棚、安全防护栏杆等推广采用重复利用率高的标准化设施。</w:t>
      </w:r>
    </w:p>
    <w:p w14:paraId="1A0BA7F0">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4.实行建筑垃圾分类管理。</w:t>
      </w:r>
      <w:r>
        <w:rPr>
          <w:rFonts w:hint="eastAsia" w:ascii="仿宋" w:hAnsi="仿宋" w:eastAsia="仿宋" w:cs="仿宋"/>
          <w:color w:val="auto"/>
          <w:spacing w:val="0"/>
          <w:sz w:val="32"/>
          <w:szCs w:val="32"/>
          <w:highlight w:val="none"/>
          <w:lang w:val="en-US" w:eastAsia="zh-CN"/>
        </w:rPr>
        <w:t>施工单位需建立建筑垃圾分类收集与存放管理制度，实行分类收集、分类存放、分类处置。</w:t>
      </w:r>
    </w:p>
    <w:p w14:paraId="38D3C1CB">
      <w:pPr>
        <w:widowControl/>
        <w:shd w:val="clear" w:color="auto" w:fill="auto"/>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5.引导施工现场建筑垃圾再利用。</w:t>
      </w:r>
      <w:r>
        <w:rPr>
          <w:rFonts w:hint="eastAsia" w:ascii="仿宋" w:hAnsi="仿宋" w:eastAsia="仿宋" w:cs="仿宋"/>
          <w:color w:val="auto"/>
          <w:spacing w:val="0"/>
          <w:sz w:val="32"/>
          <w:szCs w:val="32"/>
          <w:highlight w:val="none"/>
          <w:lang w:val="en-US" w:eastAsia="zh-CN"/>
        </w:rPr>
        <w:t>施工单位需充分利用混凝土、钢筋、模板等，加工制作成各类工程材料，实行循环利用。施工现场不具备就地利用条件的，应按规定及时转运到建筑垃圾处置场所进行资源化处置和再利用。</w:t>
      </w:r>
    </w:p>
    <w:p w14:paraId="4C793776">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6.落实施工现场建筑垃圾的排放控制。</w:t>
      </w:r>
      <w:r>
        <w:rPr>
          <w:rFonts w:hint="eastAsia" w:ascii="仿宋" w:hAnsi="仿宋" w:eastAsia="仿宋" w:cs="仿宋"/>
          <w:color w:val="auto"/>
          <w:spacing w:val="0"/>
          <w:sz w:val="32"/>
          <w:szCs w:val="32"/>
          <w:highlight w:val="none"/>
          <w:lang w:val="en-US" w:eastAsia="zh-CN"/>
        </w:rPr>
        <w:t>施工单位应禁止携载未分类垃圾的运输车辆出场；应按各类施工现场建筑垃圾实际处理情况填写相关记录、统计表，并保持记录的连续性、真实性和准确性；</w:t>
      </w:r>
      <w:r>
        <w:rPr>
          <w:rFonts w:hint="eastAsia" w:ascii="仿宋" w:hAnsi="仿宋" w:eastAsia="仿宋" w:cs="仿宋"/>
          <w:color w:val="auto"/>
          <w:sz w:val="32"/>
          <w:szCs w:val="32"/>
          <w:highlight w:val="none"/>
          <w:lang w:eastAsia="zh-CN"/>
        </w:rPr>
        <w:t>宜</w:t>
      </w:r>
      <w:r>
        <w:rPr>
          <w:rFonts w:hint="eastAsia" w:ascii="仿宋" w:hAnsi="仿宋" w:eastAsia="仿宋" w:cs="仿宋"/>
          <w:color w:val="auto"/>
          <w:sz w:val="32"/>
          <w:szCs w:val="32"/>
          <w:highlight w:val="none"/>
        </w:rPr>
        <w:t>现场</w:t>
      </w:r>
      <w:r>
        <w:rPr>
          <w:rFonts w:hint="eastAsia" w:ascii="仿宋" w:hAnsi="仿宋" w:eastAsia="仿宋" w:cs="仿宋"/>
          <w:color w:val="auto"/>
          <w:sz w:val="32"/>
          <w:szCs w:val="32"/>
          <w:highlight w:val="none"/>
          <w:lang w:eastAsia="zh-CN"/>
        </w:rPr>
        <w:t>对</w:t>
      </w:r>
      <w:r>
        <w:rPr>
          <w:rFonts w:hint="eastAsia" w:ascii="仿宋" w:hAnsi="仿宋" w:eastAsia="仿宋" w:cs="仿宋"/>
          <w:color w:val="auto"/>
          <w:sz w:val="32"/>
          <w:szCs w:val="32"/>
          <w:highlight w:val="none"/>
        </w:rPr>
        <w:t>淤泥质</w:t>
      </w:r>
      <w:r>
        <w:rPr>
          <w:rFonts w:hint="eastAsia" w:ascii="仿宋" w:hAnsi="仿宋" w:eastAsia="仿宋" w:cs="仿宋"/>
          <w:color w:val="auto"/>
          <w:sz w:val="32"/>
          <w:szCs w:val="32"/>
          <w:highlight w:val="none"/>
          <w:lang w:eastAsia="zh-CN"/>
        </w:rPr>
        <w:t>工程</w:t>
      </w:r>
      <w:r>
        <w:rPr>
          <w:rFonts w:hint="eastAsia" w:ascii="仿宋" w:hAnsi="仿宋" w:eastAsia="仿宋" w:cs="仿宋"/>
          <w:color w:val="auto"/>
          <w:sz w:val="32"/>
          <w:szCs w:val="32"/>
          <w:highlight w:val="none"/>
        </w:rPr>
        <w:t>渣土</w:t>
      </w:r>
      <w:r>
        <w:rPr>
          <w:rFonts w:hint="eastAsia" w:ascii="仿宋" w:hAnsi="仿宋" w:eastAsia="仿宋" w:cs="仿宋"/>
          <w:color w:val="auto"/>
          <w:sz w:val="32"/>
          <w:szCs w:val="32"/>
          <w:highlight w:val="none"/>
          <w:lang w:eastAsia="zh-CN"/>
        </w:rPr>
        <w:t>、工程泥浆进行</w:t>
      </w:r>
      <w:r>
        <w:rPr>
          <w:rFonts w:hint="eastAsia" w:ascii="仿宋" w:hAnsi="仿宋" w:eastAsia="仿宋" w:cs="仿宋"/>
          <w:color w:val="auto"/>
          <w:sz w:val="32"/>
          <w:szCs w:val="32"/>
          <w:highlight w:val="none"/>
        </w:rPr>
        <w:t>脱水</w:t>
      </w:r>
      <w:r>
        <w:rPr>
          <w:rFonts w:hint="eastAsia" w:ascii="仿宋" w:hAnsi="仿宋" w:eastAsia="仿宋" w:cs="仿宋"/>
          <w:color w:val="auto"/>
          <w:sz w:val="32"/>
          <w:szCs w:val="32"/>
          <w:highlight w:val="none"/>
          <w:lang w:eastAsia="zh-CN"/>
        </w:rPr>
        <w:t>或硬化</w:t>
      </w:r>
      <w:r>
        <w:rPr>
          <w:rFonts w:hint="eastAsia" w:ascii="仿宋" w:hAnsi="仿宋" w:eastAsia="仿宋" w:cs="仿宋"/>
          <w:color w:val="auto"/>
          <w:spacing w:val="0"/>
          <w:sz w:val="32"/>
          <w:szCs w:val="32"/>
          <w:highlight w:val="none"/>
          <w:lang w:val="en-US" w:eastAsia="zh-CN"/>
        </w:rPr>
        <w:t>；在施工现场出入口等显著位置宜实时公示建筑垃圾类型、出场排放量、处置方式、处置去向及运输单位；出场建筑垃圾应运往符合要求的建筑垃圾处置场所或消纳场所；严禁将生活垃圾和危险废物混入建筑垃圾排放，施工现场产生的生活垃圾和危险废物应按有关规定进行处置。</w:t>
      </w:r>
    </w:p>
    <w:p w14:paraId="0E3DE4FE">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2" w:name="_Toc19215"/>
      <w:r>
        <w:rPr>
          <w:rFonts w:hint="eastAsia" w:ascii="仿宋" w:hAnsi="仿宋" w:eastAsia="方正楷体_GB2312" w:cs="仿宋"/>
          <w:b/>
          <w:bCs w:val="0"/>
          <w:color w:val="auto"/>
          <w:spacing w:val="0"/>
          <w:kern w:val="2"/>
          <w:sz w:val="32"/>
          <w:szCs w:val="32"/>
          <w:lang w:val="en-US" w:eastAsia="zh-CN" w:bidi="ar-SA"/>
        </w:rPr>
        <w:t>（七）</w:t>
      </w:r>
      <w:r>
        <w:rPr>
          <w:rFonts w:hint="eastAsia" w:ascii="仿宋" w:hAnsi="仿宋" w:eastAsia="仿宋" w:cs="仿宋"/>
          <w:b/>
          <w:bCs w:val="0"/>
          <w:color w:val="auto"/>
          <w:spacing w:val="0"/>
          <w:kern w:val="2"/>
          <w:sz w:val="32"/>
          <w:szCs w:val="32"/>
          <w:highlight w:val="none"/>
          <w:lang w:val="en-US" w:eastAsia="zh-CN" w:bidi="ar-SA"/>
        </w:rPr>
        <w:t>推动施工现场就地资源化利用</w:t>
      </w:r>
      <w:bookmarkEnd w:id="42"/>
    </w:p>
    <w:p w14:paraId="159B201C">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鼓励施工现场建筑垃圾的就地利用处置，遵循因地制宜、分类利用的原则，提高建筑垃圾处置利用水平。</w:t>
      </w:r>
    </w:p>
    <w:p w14:paraId="676254B6">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具备建筑垃圾就地资源化处置能力的施工单位，应根据场地条件，合理设置建筑垃圾加工区及产品储存区，提升施工现场建筑垃圾资源化处置水平及再生产品质量。</w:t>
      </w:r>
    </w:p>
    <w:p w14:paraId="5DAE77F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清城区建筑垃圾主管部门以及住房城乡建设、交通运输、水利、农业农村等建设工程主管部门联合制定相关文件，根据拆旧面积、施工面积等要素，对大型旧改项目、市政基础设施项目等提出现场设置资源化利用设备的相应要求。</w:t>
      </w:r>
    </w:p>
    <w:p w14:paraId="3B9CED74">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3" w:name="_Toc1731"/>
      <w:r>
        <w:rPr>
          <w:rFonts w:hint="eastAsia" w:ascii="仿宋" w:hAnsi="仿宋" w:eastAsia="方正楷体_GB2312" w:cs="仿宋"/>
          <w:b/>
          <w:bCs w:val="0"/>
          <w:color w:val="auto"/>
          <w:spacing w:val="0"/>
          <w:kern w:val="2"/>
          <w:sz w:val="32"/>
          <w:szCs w:val="32"/>
          <w:lang w:val="en-US" w:eastAsia="zh-CN" w:bidi="ar-SA"/>
        </w:rPr>
        <w:t>（八）</w:t>
      </w:r>
      <w:r>
        <w:rPr>
          <w:rFonts w:hint="eastAsia" w:ascii="仿宋" w:hAnsi="仿宋" w:eastAsia="仿宋" w:cs="仿宋"/>
          <w:b/>
          <w:bCs w:val="0"/>
          <w:color w:val="auto"/>
          <w:spacing w:val="0"/>
          <w:kern w:val="2"/>
          <w:sz w:val="32"/>
          <w:szCs w:val="32"/>
          <w:highlight w:val="none"/>
          <w:lang w:val="en-US" w:eastAsia="zh-CN" w:bidi="ar-SA"/>
        </w:rPr>
        <w:t>重点区域源头管控要点</w:t>
      </w:r>
      <w:bookmarkEnd w:id="43"/>
    </w:p>
    <w:p w14:paraId="3BF3C26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清城区建筑垃圾主管部门以及住房城乡建设、自然资源、生态环境、水利等部门依职责，重点打击在河道、湖泊、水库管理范围内，城乡结合部、农村地区、地市毗邻区域，交通道路沿线，耕地和永久基本农田、林地、湿地，生态保护红线和自然保护地内非法倾倒建筑垃圾的违法违规行为涉嫌犯罪的，依法追究刑事责任。重点排查违规设立的建筑垃圾临时贮存场所、处置场所或资源化利用设施，一经发现立即依法进行查处。加强建筑垃圾跨行政区域转移监管，切实做到守土有责，坚决防范跨省跨市</w:t>
      </w:r>
      <w:r>
        <w:rPr>
          <w:rFonts w:hint="eastAsia" w:ascii="仿宋" w:hAnsi="仿宋" w:cs="仿宋"/>
          <w:color w:val="auto"/>
          <w:spacing w:val="0"/>
          <w:sz w:val="32"/>
          <w:szCs w:val="32"/>
          <w:highlight w:val="none"/>
          <w:lang w:val="en-US" w:eastAsia="zh-CN"/>
        </w:rPr>
        <w:t>垮县（区）</w:t>
      </w:r>
      <w:r>
        <w:rPr>
          <w:rFonts w:hint="eastAsia" w:ascii="仿宋" w:hAnsi="仿宋" w:eastAsia="仿宋" w:cs="仿宋"/>
          <w:color w:val="auto"/>
          <w:spacing w:val="0"/>
          <w:sz w:val="32"/>
          <w:szCs w:val="32"/>
          <w:highlight w:val="none"/>
          <w:lang w:val="en-US" w:eastAsia="zh-CN"/>
        </w:rPr>
        <w:t>乱倒乱卸。</w:t>
      </w:r>
    </w:p>
    <w:p w14:paraId="3DF9F9F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p>
    <w:p w14:paraId="41522270">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44" w:name="_Toc14096"/>
      <w:bookmarkStart w:id="45" w:name="_Toc24109"/>
      <w:r>
        <w:rPr>
          <w:rFonts w:hint="eastAsia" w:ascii="仿宋" w:hAnsi="仿宋" w:eastAsia="黑体" w:cs="仿宋"/>
          <w:b/>
          <w:bCs/>
          <w:color w:val="auto"/>
          <w:spacing w:val="0"/>
          <w:kern w:val="0"/>
          <w:sz w:val="32"/>
          <w:szCs w:val="32"/>
          <w:lang w:val="en-US" w:eastAsia="zh-CN" w:bidi="ar-SA"/>
        </w:rPr>
        <w:t>六、</w:t>
      </w:r>
      <w:r>
        <w:rPr>
          <w:rFonts w:hint="eastAsia" w:ascii="仿宋" w:hAnsi="仿宋" w:eastAsia="仿宋" w:cs="仿宋"/>
          <w:b/>
          <w:bCs/>
          <w:color w:val="auto"/>
          <w:spacing w:val="0"/>
          <w:sz w:val="32"/>
          <w:szCs w:val="32"/>
          <w:highlight w:val="none"/>
          <w:lang w:val="en-US" w:eastAsia="zh-CN"/>
        </w:rPr>
        <w:t>收运环节污染防治策略</w:t>
      </w:r>
      <w:bookmarkEnd w:id="44"/>
      <w:bookmarkEnd w:id="45"/>
    </w:p>
    <w:p w14:paraId="5417B859">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6" w:name="_Toc21914"/>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分类收运规划</w:t>
      </w:r>
      <w:bookmarkEnd w:id="46"/>
    </w:p>
    <w:p w14:paraId="4FF35F5E">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1.工程渣土和工程泥浆分类收运</w:t>
      </w:r>
    </w:p>
    <w:p w14:paraId="6EDAC557">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（1）不得将工程渣土、工程泥浆与其他建筑垃圾混合运输。禁止携载未分类垃圾的运输车辆出施工现场。</w:t>
      </w:r>
    </w:p>
    <w:p w14:paraId="7A9D3037">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（2）工程渣土收集时，表层耕植土不应和其他土类混合，可再利用的粉砂（土）、砂土、卵（砾）石及岩石等宜分类收集。</w:t>
      </w:r>
    </w:p>
    <w:p w14:paraId="17366332">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（3）结合土方回填对土质的要求及场地布置情况，规划现场渣土暂时存放场地。对临时存放的工程渣土做好覆盖，并确保安全稳定。</w:t>
      </w:r>
    </w:p>
    <w:p w14:paraId="213240A4">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（4）工程泥浆应通过工程现场设置的泥浆池或封闭容器收集存放。</w:t>
      </w:r>
    </w:p>
    <w:p w14:paraId="41E12A4F">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（5）泥浆池应采取防渗漏措施、可周转的材料制作.</w:t>
      </w:r>
    </w:p>
    <w:p w14:paraId="66F29D78">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（6）封闭容器内外表面应采取除锈、防腐措施，并应具有良好的密闭性能。</w:t>
      </w:r>
    </w:p>
    <w:p w14:paraId="57469124">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（7）未经处置的泥浆严禁就地或随意排放。</w:t>
      </w:r>
    </w:p>
    <w:p w14:paraId="41DF2AF0">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（8）工程泥浆应在施工现场进行脱水固化处理。施工现场不具备条件的，应采用罐装器具密闭运输至依法设置的处置场所进行处置。</w:t>
      </w:r>
    </w:p>
    <w:p w14:paraId="7E0686F6">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2.工程垃圾分类收运</w:t>
      </w:r>
    </w:p>
    <w:p w14:paraId="2E1F64A6">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（1）工程垃圾按金属类、无机非金属类、其他类进行分类，并由专人进行清运处理。</w:t>
      </w:r>
    </w:p>
    <w:p w14:paraId="648BFA2A">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金属类、无机非金属类垃圾可采取露天堆放的方式，堆放高度不宜超过3m，超过3m时应进行堆体和地基的稳定性验算，露天堆放应进行覆盖，避免雨淋和减少扬尘，堆放区域四周设置雨水排水沟及转运车辆出入口。</w:t>
      </w:r>
    </w:p>
    <w:p w14:paraId="40552A26">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（3）其他类垃圾堆放区应硬化地坪并设置围堰，四周设置排水沟。露天堆放的应进行覆盖，防止扬尘和轻飘物飞散。</w:t>
      </w:r>
    </w:p>
    <w:p w14:paraId="2879CD9B">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（4）应根据工程垃圾尺寸及质量，采用人工与机械相结合的方式进行堆。</w:t>
      </w:r>
    </w:p>
    <w:p w14:paraId="38DDD187">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3.拆除垃圾分类收运</w:t>
      </w:r>
    </w:p>
    <w:p w14:paraId="43C1C350">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（1）拆除垃圾可按金属类、无机非金属类、其他类进行分类，并由专人进行清运处理。各类垃圾堆放要求参照工程垃圾执行。</w:t>
      </w:r>
    </w:p>
    <w:p w14:paraId="593A19DE">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（2）建构筑物拆除前应做好技术准备工作、现场准备工作，拆除过程应注重边拆除、边分类。</w:t>
      </w:r>
    </w:p>
    <w:p w14:paraId="00690458">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（3）附属构件（门、窗等）先于主体结构拆除，分类存放。</w:t>
      </w:r>
    </w:p>
    <w:p w14:paraId="4372C255">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（4）拆除的混凝土梁、柱、楼板构件或其他预制件统一收集。</w:t>
      </w:r>
    </w:p>
    <w:p w14:paraId="2387A7A8">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（5）拆除流程宜采用如下流程：周边维护—拆除管线—拆除门窗—开凿楼板—拆除砖墙—开凿混凝土构件—分类回收废弃物—弃物外运。</w:t>
      </w:r>
    </w:p>
    <w:p w14:paraId="70CBC60F">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6）拆除时应采用先上后下、先非承重结构后承重结构、先板、梁后墙、柱的施工原则，不应交叉拆除或数层同时拆除。地上部分建筑物完全拆除后，拆除地下部分，破除砼地坪。拆除地下管线时，应明确管内无易燃、易爆物后，方可拆除。拆除过程中应避免墙体大块重放，以免对原始楼板造成冲压及损坏，屋面、楼面、平（阳）台上，不可集中堆放材料和建筑垃圾，堆放的重量或高度应经过计算，应控制在结构承载允许范围内。</w:t>
      </w:r>
    </w:p>
    <w:p w14:paraId="6607F920">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4.装修垃圾分类收运</w:t>
      </w:r>
    </w:p>
    <w:p w14:paraId="08969BDD">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（1）装修垃圾宜袋装收集。无机装修废料（混凝土、砂浆、砖瓦、陶瓷等）不应与有机杂物、金属等混杂。</w:t>
      </w:r>
    </w:p>
    <w:p w14:paraId="56F3706A">
      <w:pPr>
        <w:widowControl/>
        <w:overflowPunct w:val="0"/>
        <w:adjustRightInd/>
        <w:snapToGrid/>
        <w:spacing w:line="600" w:lineRule="exact"/>
        <w:ind w:firstLine="640"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（2）住宅小区装修工程应设置专门的装修垃圾堆放点，非住宅小区装修工程，装修垃圾应分类、集中堆放。</w:t>
      </w:r>
    </w:p>
    <w:p w14:paraId="74810A19">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7" w:name="_Toc7837"/>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运输车辆、船舶要求</w:t>
      </w:r>
      <w:bookmarkEnd w:id="47"/>
    </w:p>
    <w:p w14:paraId="5903B466">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1.运输车辆要求</w:t>
      </w:r>
    </w:p>
    <w:p w14:paraId="3B43866E">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（1）建筑垃圾运输车辆应为列入工业和信息化部《车辆生产企业及产品公告》内的产品，车辆的特征应与产品公告、出厂合格证相符。</w:t>
      </w:r>
    </w:p>
    <w:p w14:paraId="3D1A6CC8">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（2）车辆应满足国家、行业、地方对机动车安全、排放、噪声、油耗的相关法规及标准要求。</w:t>
      </w:r>
    </w:p>
    <w:p w14:paraId="65671B75">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（3）宜采用密闭厢式车辆，表面应有效遮盖，建筑垃圾不得裸露和散落。工程泥浆陆上运输应采用密闭罐车。</w:t>
      </w:r>
    </w:p>
    <w:p w14:paraId="438778BE">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（4）车辆厢盖宜采用机械密闭装置，开启、关闭动作应平稳灵活，车厢底部宜采取防渗措施。</w:t>
      </w:r>
    </w:p>
    <w:p w14:paraId="125354D5">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（5）车辆应容貌整洁、标志齐全，车厢、车辆底盘、车轮无大块泥沙等附着物。</w:t>
      </w:r>
    </w:p>
    <w:p w14:paraId="3F37CB2C">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（6）建筑垃圾装载高度最高点应低于车厢栏板高度0.15m以上，车辆装载完毕后，厢盖应关闭到位，装载量不得超过车辆额定载重量。</w:t>
      </w:r>
    </w:p>
    <w:p w14:paraId="0B823B12">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2.运输船舶要求</w:t>
      </w:r>
    </w:p>
    <w:p w14:paraId="3D3BC30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（1）建筑垃圾运输船舶应当符合载运技术条件，具备开底功能的船舶不得参与运输。</w:t>
      </w:r>
    </w:p>
    <w:p w14:paraId="4DCC311C">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（2）水上运输宜采用集装箱，船舶表面应有效遮盖，建筑垃圾不得裸露和散落。工程泥浆水上运输应采用密闭分隔仓。</w:t>
      </w:r>
    </w:p>
    <w:p w14:paraId="736CC4EA">
      <w:pPr>
        <w:keepNext w:val="0"/>
        <w:keepLines w:val="0"/>
        <w:pageBreakBefore w:val="0"/>
        <w:widowControl/>
        <w:numPr>
          <w:ilvl w:val="0"/>
          <w:numId w:val="0"/>
        </w:numPr>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（3）集装箱盖宜采用机械密闭装置，开启、关闭动作应平稳灵活，集装箱底部宜采取防渗措施。</w:t>
      </w:r>
    </w:p>
    <w:p w14:paraId="1EFA8ED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（4）船舶应容貌整洁、标志齐全，船舶及其集装箱无大块泥沙等附着物。</w:t>
      </w:r>
    </w:p>
    <w:p w14:paraId="15902E2E">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8" w:name="_Toc31972"/>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收集点及中转设施选址与建设要求</w:t>
      </w:r>
      <w:bookmarkEnd w:id="48"/>
    </w:p>
    <w:p w14:paraId="30185C5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建筑垃圾收集点及中转设施选址应符合《建筑垃圾处理技术标准》（CJJ/T 134）等相关要求。</w:t>
      </w:r>
    </w:p>
    <w:p w14:paraId="3209A15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收集点及中转设施建设要求，具体如下：</w:t>
      </w:r>
    </w:p>
    <w:p w14:paraId="3D36454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1.建筑垃圾应根据工程渣土、工程泥浆、工程垃圾、拆除垃圾和装修垃圾及其细分类堆放，并应设置明显的分类堆放标志。</w:t>
      </w:r>
    </w:p>
    <w:p w14:paraId="72F37D2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建筑垃圾堆放区可采取室内或露天方式，并应采取有效的防尘、降噪措施。露天堆放的建筑垃圾应及时遮盖，堆放区地坪标高应高于周围场地至少0.15m，四周应设置排水沟，满足场地雨水导排要求。除工程渣土、脱水预处理后的工程泥浆以及经分类后的混凝土、砖瓦类建筑垃圾以外，其他建筑垃圾堆放区应采取地面硬化或相关</w:t>
      </w:r>
      <w:r>
        <w:rPr>
          <w:rFonts w:hint="eastAsia" w:ascii="仿宋" w:hAnsi="仿宋" w:eastAsia="仿宋" w:cs="仿宋"/>
          <w:b w:val="0"/>
          <w:bCs w:val="0"/>
          <w:color w:val="auto"/>
          <w:sz w:val="32"/>
          <w:szCs w:val="32"/>
          <w:highlight w:val="none"/>
          <w:lang w:val="en-US" w:eastAsia="zh-CN" w:bidi="ar-SA"/>
        </w:rPr>
        <w:t>防止渗漏污染地下水的措施。</w:t>
      </w:r>
    </w:p>
    <w:p w14:paraId="2C65758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3.建筑垃圾堆放高度高出地坪不宜超过3m当超过3m时，应进行堆体和地基稳定性验算，保证堆体和地基的稳定安全。当堆放场地附近有挖方工程时，应进行堆体和挖方边坡稳定性验算，保证挖方工程安全。</w:t>
      </w:r>
    </w:p>
    <w:p w14:paraId="0DA7D33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4.应合理设置开挖空间及进出口。</w:t>
      </w:r>
    </w:p>
    <w:p w14:paraId="288D912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5.可根据后端处理处置设施的要求，配备相应的预处理设施，预处理设施宜设置在封闭车间内，并应采取有效的防尘、降噪措施。</w:t>
      </w:r>
    </w:p>
    <w:p w14:paraId="7F158987">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49" w:name="_Toc143"/>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收集点及转运设施建设总体任务目标</w:t>
      </w:r>
      <w:bookmarkEnd w:id="49"/>
    </w:p>
    <w:p w14:paraId="3508FB6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规划考虑各县（市、区）构建“点—站—场”的建筑垃圾收运体系，每个居委会行政村</w:t>
      </w:r>
      <w:r>
        <w:rPr>
          <w:rFonts w:hint="eastAsia" w:ascii="仿宋" w:hAnsi="仿宋" w:cs="仿宋"/>
          <w:color w:val="auto"/>
          <w:spacing w:val="0"/>
          <w:sz w:val="32"/>
          <w:szCs w:val="32"/>
          <w:highlight w:val="none"/>
          <w:lang w:val="en-US" w:eastAsia="zh-CN"/>
        </w:rPr>
        <w:t>宜</w:t>
      </w:r>
      <w:r>
        <w:rPr>
          <w:rFonts w:hint="eastAsia" w:ascii="仿宋" w:hAnsi="仿宋" w:eastAsia="仿宋" w:cs="仿宋"/>
          <w:color w:val="auto"/>
          <w:spacing w:val="0"/>
          <w:sz w:val="32"/>
          <w:szCs w:val="32"/>
          <w:highlight w:val="none"/>
          <w:lang w:val="en-US" w:eastAsia="zh-CN"/>
        </w:rPr>
        <w:t>建有一个居民装修垃圾收集点；建议运距30公里以内的镇街采取直运方式，其余镇街宜建有一个建筑垃圾转运站。</w:t>
      </w:r>
    </w:p>
    <w:p w14:paraId="183581C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近期清城区选取</w:t>
      </w:r>
      <w:r>
        <w:rPr>
          <w:rFonts w:hint="eastAsia" w:ascii="仿宋" w:hAnsi="仿宋" w:cs="仿宋"/>
          <w:color w:val="auto"/>
          <w:spacing w:val="0"/>
          <w:sz w:val="32"/>
          <w:szCs w:val="32"/>
          <w:highlight w:val="none"/>
          <w:lang w:val="en-US" w:eastAsia="zh-CN"/>
        </w:rPr>
        <w:t>1</w:t>
      </w:r>
      <w:r>
        <w:rPr>
          <w:rFonts w:hint="eastAsia" w:ascii="仿宋" w:hAnsi="仿宋" w:eastAsia="仿宋" w:cs="仿宋"/>
          <w:color w:val="auto"/>
          <w:spacing w:val="0"/>
          <w:sz w:val="32"/>
          <w:szCs w:val="32"/>
          <w:highlight w:val="none"/>
          <w:lang w:val="en-US" w:eastAsia="zh-CN"/>
        </w:rPr>
        <w:t>个街道（凤城街道）设置建筑垃圾收纳点，放置建筑垃圾收纳箱，选取3个镇（龙塘镇、源潭镇、飞来峡镇）建设建筑垃圾中转站，构建“点—站—场”的建筑垃圾收运体系；远期全面推广实施“点—站—场”的建筑垃圾收运体系。</w:t>
      </w:r>
    </w:p>
    <w:p w14:paraId="65DBAAD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“点—站—场”收运体系，指从建筑垃圾收集点到转运站，再到处理处置场所的收运体系。</w:t>
      </w:r>
    </w:p>
    <w:p w14:paraId="3B6D6E1D">
      <w:pPr>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清城区建筑垃圾中转站建设规划</w:t>
      </w:r>
    </w:p>
    <w:tbl>
      <w:tblPr>
        <w:tblStyle w:val="44"/>
        <w:tblW w:w="91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7"/>
        <w:gridCol w:w="2206"/>
        <w:gridCol w:w="1693"/>
        <w:gridCol w:w="1457"/>
        <w:gridCol w:w="1268"/>
        <w:gridCol w:w="1847"/>
      </w:tblGrid>
      <w:tr w14:paraId="2A560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3" w:hRule="atLeast"/>
        </w:trPr>
        <w:tc>
          <w:tcPr>
            <w:tcW w:w="687"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5D27AE79">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序号</w:t>
            </w:r>
          </w:p>
        </w:tc>
        <w:tc>
          <w:tcPr>
            <w:tcW w:w="2206"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0FC51B1F">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设施名称</w:t>
            </w:r>
          </w:p>
        </w:tc>
        <w:tc>
          <w:tcPr>
            <w:tcW w:w="1693"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1FBE073">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位置</w:t>
            </w:r>
          </w:p>
        </w:tc>
        <w:tc>
          <w:tcPr>
            <w:tcW w:w="1457"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26E1E55">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处理规模</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(万</w:t>
            </w:r>
            <w:r>
              <w:rPr>
                <w:rFonts w:hint="eastAsia" w:ascii="仿宋" w:hAnsi="仿宋" w:cs="仿宋"/>
                <w:b/>
                <w:bCs/>
                <w:i w:val="0"/>
                <w:iCs w:val="0"/>
                <w:color w:val="000000"/>
                <w:kern w:val="0"/>
                <w:sz w:val="24"/>
                <w:szCs w:val="24"/>
                <w:highlight w:val="none"/>
                <w:u w:val="none"/>
                <w:lang w:val="en-US" w:eastAsia="zh-CN" w:bidi="ar"/>
              </w:rPr>
              <w:t>m³</w:t>
            </w:r>
            <w:r>
              <w:rPr>
                <w:rFonts w:hint="eastAsia" w:ascii="仿宋" w:hAnsi="仿宋" w:eastAsia="仿宋" w:cs="仿宋"/>
                <w:b/>
                <w:bCs/>
                <w:i w:val="0"/>
                <w:iCs w:val="0"/>
                <w:color w:val="000000"/>
                <w:kern w:val="0"/>
                <w:sz w:val="24"/>
                <w:szCs w:val="24"/>
                <w:highlight w:val="none"/>
                <w:u w:val="none"/>
                <w:lang w:val="en-US" w:eastAsia="zh-CN" w:bidi="ar"/>
              </w:rPr>
              <w:t>)</w:t>
            </w:r>
          </w:p>
        </w:tc>
        <w:tc>
          <w:tcPr>
            <w:tcW w:w="1268"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2E286499">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占地面积</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w:t>
            </w:r>
          </w:p>
        </w:tc>
        <w:tc>
          <w:tcPr>
            <w:tcW w:w="1847"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16936C36">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1"/>
                <w:szCs w:val="21"/>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备注</w:t>
            </w:r>
          </w:p>
        </w:tc>
      </w:tr>
      <w:tr w14:paraId="1212A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16BF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19850">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龙塘镇建筑垃圾中转站</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321C2">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广东省清远市清城区龙塘镇陂坑万水河边厂房</w:t>
            </w: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01AA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0.6</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6BA1F">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2000</w:t>
            </w:r>
          </w:p>
        </w:tc>
        <w:tc>
          <w:tcPr>
            <w:tcW w:w="1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3FC0">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已投入运营，作临时堆放及中转处理。</w:t>
            </w:r>
          </w:p>
        </w:tc>
      </w:tr>
      <w:tr w14:paraId="38ADE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255A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A3BA3">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源潭镇建筑垃圾中转站</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E1EE">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广东省清远市清城区源潭镇大江布村（原踵头瓦厂）</w:t>
            </w: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3688">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0.3</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B7E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1004</w:t>
            </w:r>
          </w:p>
        </w:tc>
        <w:tc>
          <w:tcPr>
            <w:tcW w:w="1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7CA08">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已投入运营，作临时堆放及中转处理。</w:t>
            </w:r>
          </w:p>
        </w:tc>
      </w:tr>
      <w:tr w14:paraId="5A0AC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69B2A">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w:t>
            </w: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BF8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飞来峡镇建筑垃圾中转站</w:t>
            </w: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8787">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广东省清远市清城区飞来峡镇大岗岭</w:t>
            </w: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F58B3">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0.3</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F20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1000</w:t>
            </w:r>
          </w:p>
        </w:tc>
        <w:tc>
          <w:tcPr>
            <w:tcW w:w="1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618A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已投入运营，作临时堆放及中转处理。</w:t>
            </w:r>
          </w:p>
        </w:tc>
      </w:tr>
      <w:tr w14:paraId="32AA1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CCD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2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32F42">
            <w:pPr>
              <w:spacing w:line="240" w:lineRule="auto"/>
              <w:jc w:val="center"/>
              <w:rPr>
                <w:rFonts w:hint="eastAsia" w:ascii="仿宋" w:hAnsi="仿宋" w:eastAsia="仿宋" w:cs="仿宋"/>
                <w:i w:val="0"/>
                <w:iCs w:val="0"/>
                <w:color w:val="000000"/>
                <w:sz w:val="21"/>
                <w:szCs w:val="21"/>
                <w:highlight w:val="none"/>
                <w:u w:val="none"/>
              </w:rPr>
            </w:pPr>
          </w:p>
        </w:tc>
        <w:tc>
          <w:tcPr>
            <w:tcW w:w="16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126CE">
            <w:pPr>
              <w:spacing w:line="240" w:lineRule="auto"/>
              <w:jc w:val="center"/>
              <w:rPr>
                <w:rFonts w:hint="eastAsia" w:ascii="仿宋" w:hAnsi="仿宋" w:eastAsia="仿宋" w:cs="仿宋"/>
                <w:i w:val="0"/>
                <w:iCs w:val="0"/>
                <w:color w:val="000000"/>
                <w:sz w:val="21"/>
                <w:szCs w:val="21"/>
                <w:highlight w:val="none"/>
                <w:u w:val="none"/>
              </w:rPr>
            </w:pPr>
          </w:p>
        </w:tc>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FD2C2">
            <w:pPr>
              <w:keepNext w:val="0"/>
              <w:keepLines w:val="0"/>
              <w:widowControl/>
              <w:suppressLineNumbers w:val="0"/>
              <w:spacing w:line="240" w:lineRule="auto"/>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1.2</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2089A">
            <w:pPr>
              <w:spacing w:line="240" w:lineRule="auto"/>
              <w:jc w:val="center"/>
              <w:rPr>
                <w:rFonts w:hint="eastAsia" w:ascii="仿宋" w:hAnsi="仿宋" w:eastAsia="仿宋" w:cs="仿宋"/>
                <w:i w:val="0"/>
                <w:iCs w:val="0"/>
                <w:color w:val="000000"/>
                <w:sz w:val="21"/>
                <w:szCs w:val="21"/>
                <w:highlight w:val="none"/>
                <w:u w:val="none"/>
              </w:rPr>
            </w:pPr>
          </w:p>
        </w:tc>
        <w:tc>
          <w:tcPr>
            <w:tcW w:w="18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F97FF">
            <w:pPr>
              <w:spacing w:line="240" w:lineRule="auto"/>
              <w:jc w:val="center"/>
              <w:rPr>
                <w:rFonts w:hint="eastAsia" w:ascii="仿宋" w:hAnsi="仿宋" w:eastAsia="仿宋" w:cs="仿宋"/>
                <w:i w:val="0"/>
                <w:iCs w:val="0"/>
                <w:color w:val="000000"/>
                <w:sz w:val="21"/>
                <w:szCs w:val="21"/>
                <w:highlight w:val="none"/>
                <w:u w:val="none"/>
              </w:rPr>
            </w:pPr>
          </w:p>
        </w:tc>
      </w:tr>
    </w:tbl>
    <w:p w14:paraId="3C6F2F56">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0" w:firstLineChars="0"/>
        <w:jc w:val="both"/>
        <w:textAlignment w:val="auto"/>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val="0"/>
          <w:bCs w:val="0"/>
          <w:color w:val="auto"/>
          <w:spacing w:val="0"/>
          <w:sz w:val="28"/>
          <w:szCs w:val="28"/>
          <w:highlight w:val="none"/>
          <w:lang w:val="en-US" w:eastAsia="zh-CN"/>
        </w:rPr>
        <w:t>注：</w:t>
      </w:r>
      <w:r>
        <w:rPr>
          <w:rFonts w:hint="eastAsia" w:ascii="仿宋" w:hAnsi="仿宋" w:cs="仿宋"/>
          <w:b w:val="0"/>
          <w:bCs w:val="0"/>
          <w:color w:val="auto"/>
          <w:spacing w:val="0"/>
          <w:sz w:val="28"/>
          <w:szCs w:val="28"/>
          <w:highlight w:val="none"/>
          <w:lang w:val="en-US" w:eastAsia="zh-CN"/>
        </w:rPr>
        <w:t>后续将根据各镇街实际情况增加中转站数量</w:t>
      </w:r>
      <w:r>
        <w:rPr>
          <w:rFonts w:hint="eastAsia" w:ascii="仿宋" w:hAnsi="仿宋" w:eastAsia="仿宋" w:cs="仿宋"/>
          <w:b w:val="0"/>
          <w:bCs w:val="0"/>
          <w:color w:val="auto"/>
          <w:spacing w:val="0"/>
          <w:sz w:val="28"/>
          <w:szCs w:val="28"/>
          <w:highlight w:val="none"/>
          <w:lang w:val="en-US" w:eastAsia="zh-CN"/>
        </w:rPr>
        <w:t>。</w:t>
      </w:r>
    </w:p>
    <w:p w14:paraId="0019CDDD">
      <w:pPr>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清城区建筑垃圾收纳点规划</w:t>
      </w:r>
    </w:p>
    <w:tbl>
      <w:tblPr>
        <w:tblStyle w:val="44"/>
        <w:tblW w:w="919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7"/>
        <w:gridCol w:w="2200"/>
        <w:gridCol w:w="1682"/>
        <w:gridCol w:w="1475"/>
        <w:gridCol w:w="1222"/>
        <w:gridCol w:w="1912"/>
      </w:tblGrid>
      <w:tr w14:paraId="583F3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0" w:type="auto"/>
            <w:tcBorders>
              <w:top w:val="single" w:color="000000" w:sz="4" w:space="0"/>
              <w:left w:val="single" w:color="000000" w:sz="4" w:space="0"/>
              <w:bottom w:val="single" w:color="000000" w:sz="4" w:space="0"/>
              <w:right w:val="single" w:color="000000" w:sz="4" w:space="0"/>
            </w:tcBorders>
            <w:shd w:val="clear" w:color="auto" w:fill="D9D9D9"/>
            <w:vAlign w:val="center"/>
          </w:tcPr>
          <w:p w14:paraId="2FC2E625">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序号</w:t>
            </w:r>
          </w:p>
        </w:tc>
        <w:tc>
          <w:tcPr>
            <w:tcW w:w="220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C89EDE1">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设施名称</w:t>
            </w:r>
          </w:p>
        </w:tc>
        <w:tc>
          <w:tcPr>
            <w:tcW w:w="168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53DA3EA">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设施规模</w:t>
            </w:r>
          </w:p>
        </w:tc>
        <w:tc>
          <w:tcPr>
            <w:tcW w:w="147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22FCA98">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占地面积</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（h㎡）</w:t>
            </w:r>
          </w:p>
        </w:tc>
        <w:tc>
          <w:tcPr>
            <w:tcW w:w="122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92F1D14">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数量</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（处）</w:t>
            </w:r>
          </w:p>
        </w:tc>
        <w:tc>
          <w:tcPr>
            <w:tcW w:w="191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3848690C">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备注</w:t>
            </w:r>
          </w:p>
        </w:tc>
      </w:tr>
      <w:tr w14:paraId="605FF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D8544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4A1CC">
            <w:pPr>
              <w:keepNext w:val="0"/>
              <w:keepLines w:val="0"/>
              <w:widowControl/>
              <w:suppressLineNumbers w:val="0"/>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凤城街道建筑垃圾收纳点</w:t>
            </w:r>
          </w:p>
        </w:tc>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FFA60">
            <w:pPr>
              <w:keepNext w:val="0"/>
              <w:keepLines w:val="0"/>
              <w:widowControl/>
              <w:suppressLineNumbers w:val="0"/>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5-10</w:t>
            </w:r>
            <w:r>
              <w:rPr>
                <w:rFonts w:hint="eastAsia" w:ascii="仿宋" w:hAnsi="仿宋" w:cs="仿宋"/>
                <w:i w:val="0"/>
                <w:iCs w:val="0"/>
                <w:color w:val="000000"/>
                <w:kern w:val="0"/>
                <w:sz w:val="24"/>
                <w:szCs w:val="24"/>
                <w:highlight w:val="none"/>
                <w:u w:val="none"/>
                <w:lang w:val="en-US" w:eastAsia="zh-CN" w:bidi="ar"/>
              </w:rPr>
              <w:t>m³</w:t>
            </w:r>
            <w:r>
              <w:rPr>
                <w:rFonts w:hint="eastAsia" w:ascii="仿宋" w:hAnsi="仿宋" w:eastAsia="仿宋" w:cs="仿宋"/>
                <w:i w:val="0"/>
                <w:iCs w:val="0"/>
                <w:color w:val="000000"/>
                <w:kern w:val="0"/>
                <w:sz w:val="24"/>
                <w:szCs w:val="24"/>
                <w:highlight w:val="none"/>
                <w:u w:val="none"/>
                <w:lang w:val="en-US" w:eastAsia="zh-CN" w:bidi="ar"/>
              </w:rPr>
              <w:t>/处</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A8A4B">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A6C5D">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CEC5E">
            <w:pPr>
              <w:keepNext w:val="0"/>
              <w:keepLines w:val="0"/>
              <w:widowControl/>
              <w:suppressLineNumbers w:val="0"/>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放置建筑垃圾收纳箱</w:t>
            </w:r>
          </w:p>
        </w:tc>
      </w:tr>
      <w:tr w14:paraId="3FD2D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7F879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1057">
            <w:pPr>
              <w:keepNext w:val="0"/>
              <w:keepLines w:val="0"/>
              <w:widowControl/>
              <w:suppressLineNumbers w:val="0"/>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w:t>
            </w:r>
          </w:p>
        </w:tc>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3803">
            <w:pPr>
              <w:keepNext w:val="0"/>
              <w:keepLines w:val="0"/>
              <w:widowControl/>
              <w:suppressLineNumbers w:val="0"/>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5-10</w:t>
            </w:r>
            <w:r>
              <w:rPr>
                <w:rFonts w:hint="eastAsia" w:ascii="仿宋" w:hAnsi="仿宋" w:cs="仿宋"/>
                <w:i w:val="0"/>
                <w:iCs w:val="0"/>
                <w:color w:val="000000"/>
                <w:kern w:val="0"/>
                <w:sz w:val="24"/>
                <w:szCs w:val="24"/>
                <w:highlight w:val="none"/>
                <w:u w:val="none"/>
                <w:lang w:val="en-US" w:eastAsia="zh-CN" w:bidi="ar"/>
              </w:rPr>
              <w:t>m³</w:t>
            </w:r>
            <w:r>
              <w:rPr>
                <w:rFonts w:hint="eastAsia" w:ascii="仿宋" w:hAnsi="仿宋" w:eastAsia="仿宋" w:cs="仿宋"/>
                <w:i w:val="0"/>
                <w:iCs w:val="0"/>
                <w:color w:val="000000"/>
                <w:kern w:val="0"/>
                <w:sz w:val="24"/>
                <w:szCs w:val="24"/>
                <w:highlight w:val="none"/>
                <w:u w:val="none"/>
                <w:lang w:val="en-US" w:eastAsia="zh-CN" w:bidi="ar"/>
              </w:rPr>
              <w:t>/处</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9D66">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B72FC">
            <w:pPr>
              <w:keepNext w:val="0"/>
              <w:keepLines w:val="0"/>
              <w:widowControl/>
              <w:suppressLineNumbers w:val="0"/>
              <w:spacing w:line="240" w:lineRule="auto"/>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70849">
            <w:pPr>
              <w:keepNext w:val="0"/>
              <w:keepLines w:val="0"/>
              <w:widowControl/>
              <w:suppressLineNumbers w:val="0"/>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未来将在地下停车场、社区门口等位置放置建筑垃圾收纳箱</w:t>
            </w:r>
          </w:p>
        </w:tc>
      </w:tr>
      <w:tr w14:paraId="04495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26270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47BB">
            <w:pPr>
              <w:spacing w:line="240" w:lineRule="auto"/>
              <w:jc w:val="center"/>
              <w:rPr>
                <w:rFonts w:hint="eastAsia" w:ascii="仿宋" w:hAnsi="仿宋" w:eastAsia="仿宋" w:cs="仿宋"/>
                <w:i w:val="0"/>
                <w:iCs w:val="0"/>
                <w:color w:val="000000"/>
                <w:sz w:val="24"/>
                <w:szCs w:val="24"/>
                <w:highlight w:val="none"/>
                <w:u w:val="none"/>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D34EE">
            <w:pPr>
              <w:spacing w:line="240" w:lineRule="auto"/>
              <w:jc w:val="center"/>
              <w:rPr>
                <w:rFonts w:hint="eastAsia" w:ascii="仿宋" w:hAnsi="仿宋" w:eastAsia="仿宋" w:cs="仿宋"/>
                <w:i w:val="0"/>
                <w:iCs w:val="0"/>
                <w:color w:val="000000"/>
                <w:sz w:val="24"/>
                <w:szCs w:val="24"/>
                <w:highlight w:val="none"/>
                <w:u w:val="none"/>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FBB6">
            <w:pPr>
              <w:spacing w:line="240" w:lineRule="auto"/>
              <w:jc w:val="center"/>
              <w:rPr>
                <w:rFonts w:hint="eastAsia" w:ascii="仿宋" w:hAnsi="仿宋" w:eastAsia="仿宋" w:cs="仿宋"/>
                <w:i w:val="0"/>
                <w:iCs w:val="0"/>
                <w:color w:val="000000"/>
                <w:sz w:val="24"/>
                <w:szCs w:val="24"/>
                <w:highlight w:val="none"/>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470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DA61F">
            <w:pPr>
              <w:spacing w:line="240" w:lineRule="auto"/>
              <w:jc w:val="center"/>
              <w:rPr>
                <w:rFonts w:hint="eastAsia" w:ascii="仿宋" w:hAnsi="仿宋" w:eastAsia="仿宋" w:cs="仿宋"/>
                <w:i w:val="0"/>
                <w:iCs w:val="0"/>
                <w:color w:val="000000"/>
                <w:sz w:val="24"/>
                <w:szCs w:val="24"/>
                <w:highlight w:val="none"/>
                <w:u w:val="none"/>
              </w:rPr>
            </w:pPr>
          </w:p>
        </w:tc>
      </w:tr>
    </w:tbl>
    <w:p w14:paraId="0C402211">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50" w:name="_Toc31419"/>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收集点及转运设施运营与监督管理要求</w:t>
      </w:r>
      <w:bookmarkEnd w:id="50"/>
    </w:p>
    <w:p w14:paraId="182B0CA0">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收集点及中转设施所应当遵守下列规定：（1）建立规范完整的生产台账，并定期向建筑垃圾主管部门报送数据；（2）不得超过经核准的堆放容量；（3）分区、分类堆填，按照有关规定进行作业规划、设计和运营；（4）不得接收工业垃圾、生活垃圾、污泥、淤泥、危险废物等；（5）建立安全管理制度，采取有效措施保障安全生产，防止失稳滑坡、环境污染、水土流失或者其他危害。法律、法规、规章规定的其他要求。</w:t>
      </w:r>
    </w:p>
    <w:p w14:paraId="3C19F2A5">
      <w:pPr>
        <w:overflowPunct w:val="0"/>
        <w:bidi w:val="0"/>
        <w:jc w:val="both"/>
        <w:rPr>
          <w:rFonts w:hint="eastAsia" w:ascii="仿宋" w:hAnsi="仿宋" w:eastAsia="仿宋" w:cs="仿宋"/>
          <w:color w:val="auto"/>
          <w:spacing w:val="0"/>
          <w:highlight w:val="none"/>
          <w:lang w:eastAsia="zh-CN"/>
        </w:rPr>
      </w:pPr>
    </w:p>
    <w:p w14:paraId="6AA8A270">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51" w:name="_Toc14267"/>
      <w:bookmarkStart w:id="52" w:name="_Toc6811"/>
      <w:r>
        <w:rPr>
          <w:rFonts w:hint="eastAsia" w:ascii="仿宋" w:hAnsi="仿宋" w:eastAsia="黑体" w:cs="仿宋"/>
          <w:b/>
          <w:bCs/>
          <w:color w:val="auto"/>
          <w:spacing w:val="0"/>
          <w:kern w:val="0"/>
          <w:sz w:val="32"/>
          <w:szCs w:val="32"/>
          <w:lang w:val="en-US" w:eastAsia="zh-CN" w:bidi="ar-SA"/>
        </w:rPr>
        <w:t>七、</w:t>
      </w:r>
      <w:r>
        <w:rPr>
          <w:rFonts w:hint="eastAsia" w:ascii="仿宋" w:hAnsi="仿宋" w:eastAsia="仿宋" w:cs="仿宋"/>
          <w:b/>
          <w:bCs/>
          <w:color w:val="auto"/>
          <w:spacing w:val="0"/>
          <w:sz w:val="32"/>
          <w:szCs w:val="32"/>
          <w:highlight w:val="none"/>
          <w:lang w:val="en-US" w:eastAsia="zh-CN"/>
        </w:rPr>
        <w:t>建筑垃圾综合利用策略</w:t>
      </w:r>
      <w:bookmarkEnd w:id="51"/>
      <w:bookmarkEnd w:id="52"/>
    </w:p>
    <w:p w14:paraId="05B8A24E">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53" w:name="_Toc30207"/>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建筑垃圾直接利用方式与路径</w:t>
      </w:r>
      <w:bookmarkEnd w:id="53"/>
    </w:p>
    <w:p w14:paraId="4327C9F2">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1.工程渣土直接利用</w:t>
      </w:r>
    </w:p>
    <w:p w14:paraId="3139FD22">
      <w:pPr>
        <w:widowControl/>
        <w:overflowPunct w:val="0"/>
        <w:adjustRightInd/>
        <w:snapToGrid/>
        <w:spacing w:line="600" w:lineRule="exact"/>
        <w:ind w:firstLine="640"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color w:val="auto"/>
          <w:spacing w:val="0"/>
          <w:sz w:val="32"/>
          <w:szCs w:val="32"/>
          <w:highlight w:val="none"/>
          <w:lang w:val="en-US" w:eastAsia="zh-CN"/>
        </w:rPr>
        <w:t>工程渣土中的表层耕植土不宜和其他土类、建筑垃圾混合，可用于农田改造、土地复垦、绿地覆土等；其他符合条件的工程渣土可用于土方平衡、林业用土、环境治理、路基填垫、山体修复、堆坡造景、烧结制品以及回填等方式进行再利用。</w:t>
      </w:r>
    </w:p>
    <w:p w14:paraId="1873A7F0">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2.工程垃圾、拆除垃圾直接利用</w:t>
      </w:r>
    </w:p>
    <w:p w14:paraId="219F4A59">
      <w:pPr>
        <w:widowControl/>
        <w:overflowPunct w:val="0"/>
        <w:adjustRightInd/>
        <w:snapToGrid/>
        <w:spacing w:line="600" w:lineRule="exact"/>
        <w:ind w:firstLine="640"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color w:val="auto"/>
          <w:spacing w:val="0"/>
          <w:sz w:val="32"/>
          <w:szCs w:val="32"/>
          <w:highlight w:val="none"/>
          <w:lang w:val="en-US" w:eastAsia="zh-CN"/>
        </w:rPr>
        <w:t>工程垃圾、拆除垃圾经分类后的混凝土、砖块等，经过必要的预处理，达到设计相关要求后，其利用方法主要有：（1）用作渣土桩填料；（2）用作夯扩桩填料；（3）大型建筑、广场、市政设施建设时，将其作为回填材料来使用。</w:t>
      </w:r>
    </w:p>
    <w:p w14:paraId="1D2CB2AA">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54" w:name="_Toc16439"/>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建筑垃圾资源化利用方式与路径</w:t>
      </w:r>
      <w:bookmarkEnd w:id="54"/>
    </w:p>
    <w:p w14:paraId="327D538E">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1.工程渣土资源化利用</w:t>
      </w:r>
    </w:p>
    <w:p w14:paraId="59D25D6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工程渣土应根据土层、类别、特性确定用途，粉砂（土）、砂土以及卵（砾）石、岩石、淤砂等应分类收集，其性能符合国家有关标准的，可用于建筑原材料、蒸压加气混凝土原料。</w:t>
      </w:r>
    </w:p>
    <w:p w14:paraId="3B3D918E">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2.工程泥浆资源化利用</w:t>
      </w:r>
    </w:p>
    <w:p w14:paraId="7DC5B53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工程泥浆经脱水、固化后形成的泥饼，经检测符合条件或者无害化处理后，可用作回填、场地覆盖或制备再生产品。</w:t>
      </w:r>
    </w:p>
    <w:p w14:paraId="32B5CB7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工程泥浆分选后形成的砂、石骨料，其性能符合国家有关标准的，可用作再生粗（细）骨料、蒸压加气混凝土原料。</w:t>
      </w:r>
    </w:p>
    <w:p w14:paraId="23784617">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3.工程垃圾资源化利用</w:t>
      </w:r>
    </w:p>
    <w:p w14:paraId="4D1C9A6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工程垃圾中的废弃混凝土优先用于生产再生骨料，废弃沥青混合料优先用于生产再生混合料；废弃模板根据材质分类回收，竹木材质宜用作再生板材、纸张或生物质燃料等的原材料。</w:t>
      </w:r>
    </w:p>
    <w:p w14:paraId="3A3A6FD7">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4.拆除垃圾资源化利用</w:t>
      </w:r>
    </w:p>
    <w:p w14:paraId="32CC647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拆除垃圾中的废弃混凝土、砂浆、石材、砖瓦、陶瓷可用于生产再生骨料；废弃沥青混合料可用于生产再生沥青混合料；废弃金属、木材、玻璃、塑料等根据材质分类回收利用。</w:t>
      </w:r>
    </w:p>
    <w:p w14:paraId="67E7F608">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5.装修垃圾资源化利用</w:t>
      </w:r>
    </w:p>
    <w:p w14:paraId="53B61290">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装修垃圾中的废弃混凝土、砂浆、石材、砖瓦、陶瓷可用于生产再生骨料；石膏、加气混凝土砌块等轻质材料可用于生产掺合料；废弃金属、木材、玻璃、塑料等根据材质分类回收利用。</w:t>
      </w:r>
    </w:p>
    <w:p w14:paraId="6A2769DF">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55" w:name="_Toc25625"/>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资源化利用项目选址与建设要求</w:t>
      </w:r>
      <w:bookmarkEnd w:id="55"/>
    </w:p>
    <w:p w14:paraId="01E0CA2A">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的建设选址可考虑工业用地，优先利用旧厂房进行选址建设，条件允许的情况下可采用循环产业园的形式与消纳场统筹建设。选址及建设应符合《建筑垃圾处理技术标准》（CJJ/T 134</w:t>
      </w:r>
      <w:r>
        <w:rPr>
          <w:rFonts w:hint="eastAsia" w:ascii="仿宋" w:hAnsi="仿宋" w:cs="仿宋"/>
          <w:color w:val="auto"/>
          <w:spacing w:val="0"/>
          <w:sz w:val="32"/>
          <w:szCs w:val="32"/>
          <w:highlight w:val="none"/>
          <w:lang w:val="en-US" w:eastAsia="zh-CN"/>
        </w:rPr>
        <w:t>-2019</w:t>
      </w:r>
      <w:r>
        <w:rPr>
          <w:rFonts w:hint="eastAsia" w:ascii="仿宋" w:hAnsi="仿宋" w:eastAsia="仿宋" w:cs="仿宋"/>
          <w:color w:val="auto"/>
          <w:spacing w:val="0"/>
          <w:sz w:val="32"/>
          <w:szCs w:val="32"/>
          <w:highlight w:val="none"/>
          <w:lang w:val="en-US" w:eastAsia="zh-CN"/>
        </w:rPr>
        <w:t>）、《建筑废弃物再生工厂设计标准》（GB 51322</w:t>
      </w:r>
      <w:r>
        <w:rPr>
          <w:rFonts w:hint="eastAsia" w:ascii="仿宋" w:hAnsi="仿宋" w:cs="仿宋"/>
          <w:color w:val="auto"/>
          <w:spacing w:val="0"/>
          <w:sz w:val="32"/>
          <w:szCs w:val="32"/>
          <w:highlight w:val="none"/>
          <w:lang w:val="en-US" w:eastAsia="zh-CN"/>
        </w:rPr>
        <w:t>-2018</w:t>
      </w:r>
      <w:r>
        <w:rPr>
          <w:rFonts w:hint="eastAsia" w:ascii="仿宋" w:hAnsi="仿宋" w:eastAsia="仿宋" w:cs="仿宋"/>
          <w:color w:val="auto"/>
          <w:spacing w:val="0"/>
          <w:sz w:val="32"/>
          <w:szCs w:val="32"/>
          <w:highlight w:val="none"/>
          <w:lang w:val="en-US" w:eastAsia="zh-CN"/>
        </w:rPr>
        <w:t>）和《建筑垃圾资源化处理厂运行规范》（T</w:t>
      </w:r>
      <w:r>
        <w:rPr>
          <w:rFonts w:hint="eastAsia" w:ascii="仿宋" w:hAnsi="仿宋" w:cs="仿宋"/>
          <w:color w:val="auto"/>
          <w:spacing w:val="0"/>
          <w:sz w:val="32"/>
          <w:szCs w:val="32"/>
          <w:highlight w:val="none"/>
          <w:lang w:val="en-US" w:eastAsia="zh-CN"/>
        </w:rPr>
        <w:t>/</w:t>
      </w:r>
      <w:r>
        <w:rPr>
          <w:rFonts w:hint="eastAsia" w:ascii="仿宋" w:hAnsi="仿宋" w:eastAsia="仿宋" w:cs="仿宋"/>
          <w:color w:val="auto"/>
          <w:spacing w:val="0"/>
          <w:sz w:val="32"/>
          <w:szCs w:val="32"/>
          <w:highlight w:val="none"/>
          <w:lang w:val="en-US" w:eastAsia="zh-CN"/>
        </w:rPr>
        <w:t>CAS 415</w:t>
      </w:r>
      <w:r>
        <w:rPr>
          <w:rFonts w:hint="eastAsia" w:ascii="仿宋" w:hAnsi="仿宋" w:cs="仿宋"/>
          <w:color w:val="auto"/>
          <w:spacing w:val="0"/>
          <w:sz w:val="32"/>
          <w:szCs w:val="32"/>
          <w:highlight w:val="none"/>
          <w:lang w:val="en-US" w:eastAsia="zh-CN"/>
        </w:rPr>
        <w:t>-2020</w:t>
      </w:r>
      <w:r>
        <w:rPr>
          <w:rFonts w:hint="eastAsia" w:ascii="仿宋" w:hAnsi="仿宋" w:eastAsia="仿宋" w:cs="仿宋"/>
          <w:color w:val="auto"/>
          <w:spacing w:val="0"/>
          <w:sz w:val="32"/>
          <w:szCs w:val="32"/>
          <w:highlight w:val="none"/>
          <w:lang w:val="en-US" w:eastAsia="zh-CN"/>
        </w:rPr>
        <w:t>）相关要求。</w:t>
      </w:r>
    </w:p>
    <w:p w14:paraId="13865C76">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56" w:name="_Toc27078"/>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资源化项目建设总体任务目标</w:t>
      </w:r>
      <w:bookmarkEnd w:id="56"/>
    </w:p>
    <w:p w14:paraId="380513F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规划考虑打造“一个中心+多个卫星点”的建筑垃圾处理设施布局；</w:t>
      </w:r>
    </w:p>
    <w:p w14:paraId="3EE0BD9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一个中心+多个卫星点”，“一个中心”指涵盖各类建筑垃圾综合利用设施，并配建建筑垃圾消纳场的综合型处理处置中心；“多个卫星点”指结合综合考虑运距、周边市场需求及实际情况等，设立的工程渣土、拆除垃圾或装修垃圾综合利用场所，或者建筑垃圾消纳场。</w:t>
      </w:r>
    </w:p>
    <w:p w14:paraId="3BD8C506">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参照《建筑废弃物再生工厂设计标准》（GB 51322-2018）等，建议资源化项目设计规模不小于30万</w:t>
      </w:r>
      <w:r>
        <w:rPr>
          <w:rFonts w:hint="eastAsia" w:ascii="仿宋" w:hAnsi="仿宋" w:cs="仿宋"/>
          <w:color w:val="auto"/>
          <w:spacing w:val="0"/>
          <w:sz w:val="32"/>
          <w:szCs w:val="32"/>
          <w:highlight w:val="none"/>
          <w:lang w:val="en-US" w:eastAsia="zh-CN"/>
        </w:rPr>
        <w:t>m³</w:t>
      </w:r>
      <w:r>
        <w:rPr>
          <w:rFonts w:hint="eastAsia" w:ascii="仿宋" w:hAnsi="仿宋" w:eastAsia="仿宋" w:cs="仿宋"/>
          <w:color w:val="auto"/>
          <w:spacing w:val="0"/>
          <w:sz w:val="32"/>
          <w:szCs w:val="32"/>
          <w:highlight w:val="none"/>
          <w:lang w:val="en-US" w:eastAsia="zh-CN"/>
        </w:rPr>
        <w:t>/年，因此本规划考虑与消纳场统筹建设资源化项目建设总体任务目标，如下：</w:t>
      </w:r>
    </w:p>
    <w:p w14:paraId="703B1E2F">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清城区建筑垃圾资源化利用场所规划</w:t>
      </w:r>
    </w:p>
    <w:tbl>
      <w:tblPr>
        <w:tblStyle w:val="44"/>
        <w:tblW w:w="9840" w:type="dxa"/>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609"/>
        <w:gridCol w:w="1909"/>
        <w:gridCol w:w="1350"/>
        <w:gridCol w:w="1336"/>
        <w:gridCol w:w="1800"/>
        <w:gridCol w:w="1181"/>
      </w:tblGrid>
      <w:tr w14:paraId="6CB40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5" w:hRule="atLeast"/>
          <w:tblHeader/>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7EB6">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序号</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52B58">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设施名称</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5C188">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位置</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1FE73">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处理规模</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(万</w:t>
            </w:r>
            <w:r>
              <w:rPr>
                <w:rFonts w:hint="eastAsia" w:ascii="仿宋" w:hAnsi="仿宋" w:cs="仿宋"/>
                <w:b/>
                <w:bCs/>
                <w:i w:val="0"/>
                <w:iCs w:val="0"/>
                <w:color w:val="000000"/>
                <w:kern w:val="0"/>
                <w:sz w:val="24"/>
                <w:szCs w:val="24"/>
                <w:highlight w:val="none"/>
                <w:u w:val="none"/>
                <w:lang w:val="en-US" w:eastAsia="zh-CN" w:bidi="ar"/>
              </w:rPr>
              <w:t>m³</w:t>
            </w:r>
            <w:r>
              <w:rPr>
                <w:rFonts w:hint="eastAsia" w:ascii="仿宋" w:hAnsi="仿宋" w:eastAsia="仿宋" w:cs="仿宋"/>
                <w:b/>
                <w:bCs/>
                <w:i w:val="0"/>
                <w:iCs w:val="0"/>
                <w:color w:val="000000"/>
                <w:kern w:val="0"/>
                <w:sz w:val="24"/>
                <w:szCs w:val="24"/>
                <w:highlight w:val="none"/>
                <w:u w:val="none"/>
                <w:lang w:val="en-US" w:eastAsia="zh-CN" w:bidi="ar"/>
              </w:rPr>
              <w:t>/年)</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B4C4">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占地面积</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3B482">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进场建筑垃圾类型</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4C6C8">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备注</w:t>
            </w:r>
          </w:p>
        </w:tc>
      </w:tr>
      <w:tr w14:paraId="78D5F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E516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FDA9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九丫松片区建筑垃圾资源化利用厂</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053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九丫松片区选址</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880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100.00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003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223906.66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37C7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工程渣土、工程垃圾、拆除垃圾、装修垃圾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C8E2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市级管辖</w:t>
            </w:r>
          </w:p>
        </w:tc>
      </w:tr>
      <w:tr w14:paraId="5E52B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7"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224C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FC8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东城街道临时建筑垃圾消纳场</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BCA8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广东省清远市清城区清城区东城街附城大道南侧地块 </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EFF3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35.00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F966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16344.99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202A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工程渣土、工程垃圾、拆除垃圾、装修垃圾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68EB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消纳场统筹建设</w:t>
            </w:r>
          </w:p>
        </w:tc>
      </w:tr>
      <w:tr w14:paraId="02C01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7"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C1A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7E85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洲心街道临时建筑垃圾消纳场</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B840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广东省清远市清城区洲心街道环城东北路与清佛公路交界东北侧</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9A1F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60.00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C20A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24000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A4B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工程渣土、工程垃圾、拆除垃圾、装修垃圾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63F0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消纳场统筹建设</w:t>
            </w:r>
          </w:p>
        </w:tc>
      </w:tr>
      <w:tr w14:paraId="3B909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05EA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4</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6E7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石角镇临时建筑垃圾消纳场</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B8BA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广东省清远市清城区石角镇华雄大道西侧地块</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FBFB">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30.00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F3B9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12946.54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38F6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29A7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消纳场统筹建设</w:t>
            </w:r>
          </w:p>
        </w:tc>
      </w:tr>
      <w:tr w14:paraId="10D2C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D3D1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353A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3CE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8FC41">
            <w:pPr>
              <w:keepNext w:val="0"/>
              <w:keepLines w:val="0"/>
              <w:widowControl/>
              <w:suppressLineNumbers w:val="0"/>
              <w:spacing w:line="240" w:lineRule="auto"/>
              <w:jc w:val="center"/>
              <w:textAlignment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225.00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791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277198.19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508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038A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r>
    </w:tbl>
    <w:p w14:paraId="6A87BFBA">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0" w:firstLineChars="0"/>
        <w:jc w:val="both"/>
        <w:textAlignment w:val="auto"/>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val="0"/>
          <w:bCs w:val="0"/>
          <w:color w:val="auto"/>
          <w:spacing w:val="0"/>
          <w:sz w:val="28"/>
          <w:szCs w:val="28"/>
          <w:highlight w:val="none"/>
          <w:lang w:val="en-US" w:eastAsia="zh-CN"/>
        </w:rPr>
        <w:t>注：上表总体规模含既有市级管辖设施的处理能力</w:t>
      </w:r>
      <w:r>
        <w:rPr>
          <w:rFonts w:hint="eastAsia" w:ascii="仿宋" w:hAnsi="仿宋" w:cs="仿宋"/>
          <w:b w:val="0"/>
          <w:bCs w:val="0"/>
          <w:color w:val="auto"/>
          <w:spacing w:val="0"/>
          <w:sz w:val="28"/>
          <w:szCs w:val="28"/>
          <w:highlight w:val="none"/>
          <w:lang w:val="en-US" w:eastAsia="zh-CN"/>
        </w:rPr>
        <w:t>；后续将根据各镇街实际情况增加中转站数量</w:t>
      </w:r>
      <w:r>
        <w:rPr>
          <w:rFonts w:hint="eastAsia" w:ascii="仿宋" w:hAnsi="仿宋" w:eastAsia="仿宋" w:cs="仿宋"/>
          <w:b w:val="0"/>
          <w:bCs w:val="0"/>
          <w:color w:val="auto"/>
          <w:spacing w:val="0"/>
          <w:sz w:val="28"/>
          <w:szCs w:val="28"/>
          <w:highlight w:val="none"/>
          <w:lang w:val="en-US" w:eastAsia="zh-CN"/>
        </w:rPr>
        <w:t>。</w:t>
      </w:r>
    </w:p>
    <w:p w14:paraId="182E90F9">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57" w:name="_Toc23029"/>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资源化利用项目运营与监督管理要求</w:t>
      </w:r>
      <w:bookmarkEnd w:id="57"/>
    </w:p>
    <w:p w14:paraId="7622BC4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应遵守下列规定：（1）建立规范完整的生产台账，并定期向建筑垃圾主管部门报送数据；（2）建立生产质量管理体系，综合利用产品应当符合国家和地方的产业政策、建材革新的有关规定以及产品质量标准；（3）不得以其他原料代替建筑垃圾作为综合利用产品主要原料；（4）建立安全管理制度，采取有效措施保障安全生产，防止环境污染、水土流失或者其他危害；（5）法律、法规、规章规定的其他要求。</w:t>
      </w:r>
    </w:p>
    <w:p w14:paraId="59901260">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58" w:name="_Toc17975"/>
      <w:r>
        <w:rPr>
          <w:rFonts w:hint="eastAsia" w:ascii="仿宋" w:hAnsi="仿宋" w:eastAsia="方正楷体_GB2312" w:cs="仿宋"/>
          <w:b/>
          <w:bCs w:val="0"/>
          <w:color w:val="auto"/>
          <w:spacing w:val="0"/>
          <w:kern w:val="2"/>
          <w:sz w:val="32"/>
          <w:szCs w:val="32"/>
          <w:lang w:val="en-US" w:eastAsia="zh-CN" w:bidi="ar-SA"/>
        </w:rPr>
        <w:t>（六）</w:t>
      </w:r>
      <w:r>
        <w:rPr>
          <w:rFonts w:hint="eastAsia" w:ascii="仿宋" w:hAnsi="仿宋" w:eastAsia="仿宋" w:cs="仿宋"/>
          <w:b/>
          <w:bCs w:val="0"/>
          <w:color w:val="auto"/>
          <w:spacing w:val="0"/>
          <w:kern w:val="2"/>
          <w:sz w:val="32"/>
          <w:szCs w:val="32"/>
          <w:highlight w:val="none"/>
          <w:lang w:val="en-US" w:eastAsia="zh-CN" w:bidi="ar-SA"/>
        </w:rPr>
        <w:t>资源化利用扶持政策</w:t>
      </w:r>
      <w:bookmarkEnd w:id="58"/>
    </w:p>
    <w:p w14:paraId="7A063B0F">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1.产业落地保障：</w:t>
      </w:r>
      <w:r>
        <w:rPr>
          <w:rFonts w:hint="eastAsia" w:ascii="仿宋" w:hAnsi="仿宋" w:eastAsia="仿宋" w:cs="仿宋"/>
          <w:color w:val="auto"/>
          <w:spacing w:val="0"/>
          <w:sz w:val="32"/>
          <w:szCs w:val="32"/>
          <w:highlight w:val="none"/>
          <w:lang w:val="en-US" w:eastAsia="zh-CN"/>
        </w:rPr>
        <w:t>制定并实施产业落地保障政策，包括提供土地、厂房、基础设施等方面的支持，为建筑垃圾资源化利用产业的发展提供必要的条件和保障。通过积极引导和扶持，鼓励企业投资建设垃圾</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，推动产业链的延伸和完善。</w:t>
      </w:r>
    </w:p>
    <w:p w14:paraId="0098F07C">
      <w:pPr>
        <w:widowControl/>
        <w:overflowPunct w:val="0"/>
        <w:adjustRightInd/>
        <w:snapToGrid/>
        <w:spacing w:line="600" w:lineRule="exact"/>
        <w:ind w:firstLine="643" w:firstLineChars="200"/>
        <w:jc w:val="both"/>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i w:val="0"/>
          <w:iCs w:val="0"/>
          <w:color w:val="auto"/>
          <w:spacing w:val="0"/>
          <w:kern w:val="2"/>
          <w:sz w:val="32"/>
          <w:szCs w:val="32"/>
          <w:highlight w:val="none"/>
          <w:vertAlign w:val="baseline"/>
          <w:lang w:val="en-US" w:eastAsia="zh-CN" w:bidi="ar-SA"/>
        </w:rPr>
        <w:t>2.产品推广应用：</w:t>
      </w:r>
      <w:r>
        <w:rPr>
          <w:rFonts w:hint="eastAsia" w:ascii="仿宋" w:hAnsi="仿宋" w:eastAsia="仿宋" w:cs="仿宋"/>
          <w:color w:val="auto"/>
          <w:spacing w:val="0"/>
          <w:sz w:val="32"/>
          <w:szCs w:val="32"/>
          <w:highlight w:val="none"/>
          <w:lang w:val="en-US" w:eastAsia="zh-CN"/>
        </w:rPr>
        <w:t>积极推广建筑垃圾综合利用产品的应用，包括广泛宣传建筑垃圾综合利用产品的优点和特性，加强与建筑、市政等领域的合作，推动建筑垃圾综合利用产品在建筑工程和市政工程中的应用。同时，鼓励和支持企业开展产品技术改进和创新，提高产品的品质和性能，满足市场和用户的需求。</w:t>
      </w:r>
    </w:p>
    <w:p w14:paraId="1CC4F1D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p>
    <w:p w14:paraId="57A7AE92">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59" w:name="_Toc18865"/>
      <w:bookmarkStart w:id="60" w:name="_Toc2238"/>
      <w:r>
        <w:rPr>
          <w:rFonts w:hint="eastAsia" w:ascii="仿宋" w:hAnsi="仿宋" w:eastAsia="黑体" w:cs="仿宋"/>
          <w:b/>
          <w:bCs/>
          <w:color w:val="auto"/>
          <w:spacing w:val="0"/>
          <w:kern w:val="0"/>
          <w:sz w:val="32"/>
          <w:szCs w:val="32"/>
          <w:lang w:val="en-US" w:eastAsia="zh-CN" w:bidi="ar-SA"/>
        </w:rPr>
        <w:t>八、</w:t>
      </w:r>
      <w:r>
        <w:rPr>
          <w:rFonts w:hint="eastAsia" w:ascii="仿宋" w:hAnsi="仿宋" w:eastAsia="仿宋" w:cs="仿宋"/>
          <w:b/>
          <w:bCs/>
          <w:color w:val="auto"/>
          <w:spacing w:val="0"/>
          <w:sz w:val="32"/>
          <w:szCs w:val="32"/>
          <w:highlight w:val="none"/>
          <w:lang w:val="en-US" w:eastAsia="zh-CN"/>
        </w:rPr>
        <w:t>末端消纳与跨区域处置污染防治策略</w:t>
      </w:r>
      <w:bookmarkEnd w:id="59"/>
      <w:bookmarkEnd w:id="60"/>
    </w:p>
    <w:p w14:paraId="1F927040">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1" w:name="_Toc10867"/>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无害化处置策略与原则</w:t>
      </w:r>
      <w:bookmarkEnd w:id="61"/>
    </w:p>
    <w:p w14:paraId="22D2D0B0">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应优先就地利用，鼓励具备条件的施工单位，在工程红线内建设建筑垃圾筛分、破碎生产线，在现场将满足质量要求的余料根据实际需求加工成各种工程材料，对建筑垃圾实施就地处置。其他不具备就地利用条件的建筑垃圾应分类收运、分类处理，传统的废砖瓦、砖块及泥土等采用直接回用、资源化利用（如制作环保砖、混合砂浆、骨料等）等方式进行资源化利用；建筑垃圾中不能回收利用部分应分类预处理后，进入建筑垃圾消纳场，属于危险废物的须交由具备相应危险废物经营资质的单位处理，最终实现无害化。</w:t>
      </w:r>
    </w:p>
    <w:p w14:paraId="6D97F6A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2" w:name="_Toc15053"/>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消纳场（含临时）选址与建设要求</w:t>
      </w:r>
      <w:bookmarkEnd w:id="62"/>
    </w:p>
    <w:p w14:paraId="73278BE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鼓励依法依规充分利用采石场、废弃矿坑等现有条件建设建筑垃圾消纳场（含临时）。有条件的地区可将消纳场（含临时）与</w:t>
      </w:r>
      <w:r>
        <w:rPr>
          <w:rFonts w:hint="eastAsia" w:ascii="仿宋" w:hAnsi="仿宋" w:eastAsia="仿宋" w:cs="仿宋"/>
          <w:b w:val="0"/>
          <w:bCs w:val="0"/>
          <w:color w:val="auto"/>
          <w:spacing w:val="0"/>
          <w:sz w:val="32"/>
          <w:szCs w:val="32"/>
          <w:highlight w:val="none"/>
          <w:lang w:val="en-US" w:eastAsia="zh-CN"/>
        </w:rPr>
        <w:t>资源化利用项目</w:t>
      </w:r>
      <w:r>
        <w:rPr>
          <w:rFonts w:hint="eastAsia" w:ascii="仿宋" w:hAnsi="仿宋" w:eastAsia="仿宋" w:cs="仿宋"/>
          <w:color w:val="auto"/>
          <w:spacing w:val="0"/>
          <w:sz w:val="32"/>
          <w:szCs w:val="32"/>
          <w:highlight w:val="none"/>
          <w:lang w:val="en-US" w:eastAsia="zh-CN"/>
        </w:rPr>
        <w:t>统筹建设。选址及建设应符合《建筑垃圾处理技术标准》（CJJ/T 134</w:t>
      </w:r>
      <w:r>
        <w:rPr>
          <w:rFonts w:hint="eastAsia" w:ascii="仿宋" w:hAnsi="仿宋" w:cs="仿宋"/>
          <w:color w:val="auto"/>
          <w:spacing w:val="0"/>
          <w:sz w:val="32"/>
          <w:szCs w:val="32"/>
          <w:highlight w:val="none"/>
          <w:lang w:val="en-US" w:eastAsia="zh-CN"/>
        </w:rPr>
        <w:t>-2019</w:t>
      </w:r>
      <w:r>
        <w:rPr>
          <w:rFonts w:hint="eastAsia" w:ascii="仿宋" w:hAnsi="仿宋" w:eastAsia="仿宋" w:cs="仿宋"/>
          <w:color w:val="auto"/>
          <w:spacing w:val="0"/>
          <w:sz w:val="32"/>
          <w:szCs w:val="32"/>
          <w:highlight w:val="none"/>
          <w:lang w:val="en-US" w:eastAsia="zh-CN"/>
        </w:rPr>
        <w:t>）、《建筑余泥渣土受纳场建设技术规范》（DBJ/T 15-118</w:t>
      </w:r>
      <w:r>
        <w:rPr>
          <w:rFonts w:hint="eastAsia" w:ascii="仿宋" w:hAnsi="仿宋" w:cs="仿宋"/>
          <w:color w:val="auto"/>
          <w:spacing w:val="0"/>
          <w:sz w:val="32"/>
          <w:szCs w:val="32"/>
          <w:highlight w:val="none"/>
          <w:lang w:val="en-US" w:eastAsia="zh-CN"/>
        </w:rPr>
        <w:t>-2016</w:t>
      </w:r>
      <w:r>
        <w:rPr>
          <w:rFonts w:hint="eastAsia" w:ascii="仿宋" w:hAnsi="仿宋" w:eastAsia="仿宋" w:cs="仿宋"/>
          <w:color w:val="auto"/>
          <w:spacing w:val="0"/>
          <w:sz w:val="32"/>
          <w:szCs w:val="32"/>
          <w:highlight w:val="none"/>
          <w:lang w:val="en-US" w:eastAsia="zh-CN"/>
        </w:rPr>
        <w:t>）和《关于印发&lt;清远市区建筑垃圾临时消纳场设置规范&gt;的通知》（清城管函〔2020〕129号）相关要求。</w:t>
      </w:r>
    </w:p>
    <w:p w14:paraId="183BC73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消纳场（含临时）分为堆填场和填埋场。堆填场仅接收工程渣土、经脱水预处理的工程泥浆以及经分类的土类、混凝土类、砖瓦类建筑垃圾，进场物料中废沥青、废旧管材、废旧木材、金属、橡(胶)塑(料)、竹木、纺织物等含量不大于5%；填埋场可接收各类建筑垃圾，但应按规范设置防渗系统等措施防止污染环境。</w:t>
      </w:r>
    </w:p>
    <w:p w14:paraId="312228F3">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3" w:name="_Toc21833"/>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消纳场（含临时）总体任务目标</w:t>
      </w:r>
      <w:bookmarkEnd w:id="63"/>
    </w:p>
    <w:p w14:paraId="2DF7608A">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宜优先考虑综合利用，符合条件的工程渣土可用于工程回填、土地平整等，消纳场（含临时）作为安全保障设施。进入堆填场的工程渣土等，可因地制宜开展回用，腾退消纳场库容，并延长其使用年限。综合考虑综合利用率目标、工程渣土回填处置历史数据等，设定近期消纳场（含临时）建设总体任务目标，近期清城区建设一个固定式建筑垃圾消纳场（市级管辖的九丫松片区一期工程），三个临时建筑垃圾消纳场；远期综合消纳场剩余库容、工程回填及土地平整实际需求等情况，实施消纳场扩容或新增消纳场。</w:t>
      </w:r>
    </w:p>
    <w:p w14:paraId="227D506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近期消纳场（含临时）建设总体任务目标，如下：</w:t>
      </w:r>
    </w:p>
    <w:p w14:paraId="3B86889E">
      <w:pPr>
        <w:pStyle w:val="65"/>
        <w:keepNext w:val="0"/>
        <w:keepLines w:val="0"/>
        <w:pageBreakBefore w:val="0"/>
        <w:widowControl/>
        <w:numPr>
          <w:ilvl w:val="0"/>
          <w:numId w:val="6"/>
        </w:numPr>
        <w:kinsoku/>
        <w:wordWrap/>
        <w:overflowPunct w:val="0"/>
        <w:topLinePunct w:val="0"/>
        <w:autoSpaceDE/>
        <w:autoSpaceDN/>
        <w:bidi w:val="0"/>
        <w:adjustRightInd/>
        <w:snapToGrid/>
        <w:spacing w:after="192" w:afterLines="50" w:line="600" w:lineRule="exact"/>
        <w:ind w:left="0" w:leftChars="0" w:firstLine="420" w:firstLineChars="0"/>
        <w:jc w:val="center"/>
        <w:textAlignment w:val="baseline"/>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bCs/>
          <w:color w:val="auto"/>
          <w:spacing w:val="0"/>
          <w:kern w:val="2"/>
          <w:sz w:val="28"/>
          <w:szCs w:val="28"/>
          <w:highlight w:val="none"/>
          <w:lang w:val="en-US" w:eastAsia="zh-CN" w:bidi="ar-SA"/>
        </w:rPr>
        <w:t xml:space="preserve"> 清城区建筑垃圾消纳场（含临时）规划</w:t>
      </w:r>
    </w:p>
    <w:tbl>
      <w:tblPr>
        <w:tblStyle w:val="44"/>
        <w:tblW w:w="9840" w:type="dxa"/>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609"/>
        <w:gridCol w:w="1909"/>
        <w:gridCol w:w="1350"/>
        <w:gridCol w:w="1336"/>
        <w:gridCol w:w="1800"/>
        <w:gridCol w:w="1181"/>
      </w:tblGrid>
      <w:tr w14:paraId="5DDBC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5" w:hRule="atLeast"/>
          <w:tblHeader/>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77FF6">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序号</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7011">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设施名称</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04F97">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位置</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B6598">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处理规模</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(万</w:t>
            </w:r>
            <w:r>
              <w:rPr>
                <w:rFonts w:hint="eastAsia" w:ascii="仿宋" w:hAnsi="仿宋" w:cs="仿宋"/>
                <w:b/>
                <w:bCs/>
                <w:i w:val="0"/>
                <w:iCs w:val="0"/>
                <w:color w:val="000000"/>
                <w:kern w:val="0"/>
                <w:sz w:val="24"/>
                <w:szCs w:val="24"/>
                <w:highlight w:val="none"/>
                <w:u w:val="none"/>
                <w:lang w:val="en-US" w:eastAsia="zh-CN" w:bidi="ar"/>
              </w:rPr>
              <w:t>m³</w:t>
            </w:r>
            <w:r>
              <w:rPr>
                <w:rFonts w:hint="eastAsia" w:ascii="仿宋" w:hAnsi="仿宋" w:eastAsia="仿宋" w:cs="仿宋"/>
                <w:b/>
                <w:bCs/>
                <w:i w:val="0"/>
                <w:iCs w:val="0"/>
                <w:color w:val="000000"/>
                <w:kern w:val="0"/>
                <w:sz w:val="24"/>
                <w:szCs w:val="24"/>
                <w:highlight w:val="none"/>
                <w:u w:val="none"/>
                <w:lang w:val="en-US" w:eastAsia="zh-CN" w:bidi="ar"/>
              </w:rPr>
              <w:t>)</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AE57B">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占地面积</w:t>
            </w:r>
            <w:r>
              <w:rPr>
                <w:rFonts w:hint="eastAsia" w:ascii="仿宋" w:hAnsi="仿宋" w:eastAsia="仿宋" w:cs="仿宋"/>
                <w:b/>
                <w:bCs/>
                <w:i w:val="0"/>
                <w:iCs w:val="0"/>
                <w:color w:val="000000"/>
                <w:kern w:val="0"/>
                <w:sz w:val="24"/>
                <w:szCs w:val="24"/>
                <w:highlight w:val="none"/>
                <w:u w:val="none"/>
                <w:lang w:val="en-US" w:eastAsia="zh-CN" w:bidi="ar"/>
              </w:rPr>
              <w:br w:type="textWrapping"/>
            </w:r>
            <w:r>
              <w:rPr>
                <w:rFonts w:hint="eastAsia" w:ascii="仿宋" w:hAnsi="仿宋" w:eastAsia="仿宋" w:cs="仿宋"/>
                <w:b/>
                <w:bCs/>
                <w:i w:val="0"/>
                <w:iCs w:val="0"/>
                <w:color w:val="000000"/>
                <w:kern w:val="0"/>
                <w:sz w:val="24"/>
                <w:szCs w:val="24"/>
                <w:highlight w:val="none"/>
                <w:u w:val="none"/>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17714">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进场建筑垃圾类型</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4ECC3">
            <w:pPr>
              <w:keepNext w:val="0"/>
              <w:keepLines w:val="0"/>
              <w:widowControl/>
              <w:suppressLineNumbers w:val="0"/>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备注</w:t>
            </w:r>
          </w:p>
        </w:tc>
      </w:tr>
      <w:tr w14:paraId="54331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597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A8EB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九丫松片区建筑垃圾消纳场</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532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九丫松片区选址</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213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100.00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41C4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223906.66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048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工程渣土、工程垃圾、拆除垃圾、装修垃圾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D02D">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br w:type="textWrapping"/>
            </w:r>
            <w:r>
              <w:rPr>
                <w:rFonts w:hint="eastAsia" w:ascii="仿宋" w:hAnsi="仿宋" w:eastAsia="仿宋" w:cs="仿宋"/>
                <w:i w:val="0"/>
                <w:iCs w:val="0"/>
                <w:color w:val="000000"/>
                <w:sz w:val="24"/>
                <w:szCs w:val="24"/>
                <w:highlight w:val="none"/>
                <w:u w:val="none"/>
                <w:lang w:val="en-US" w:eastAsia="zh-CN"/>
              </w:rPr>
              <w:t>市级管辖</w:t>
            </w:r>
          </w:p>
        </w:tc>
      </w:tr>
      <w:tr w14:paraId="2D18E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7"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C7CB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AED5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东城街道临时建筑垃圾消纳场</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79F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广东省清远市清城区清城区东城街附城大道南侧地块</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8327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35.00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95DD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16344.99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B46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工程渣土、工程垃圾、拆除垃圾、装修垃圾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4EBD5">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已发临时证，具备资源化利用功能</w:t>
            </w:r>
          </w:p>
        </w:tc>
      </w:tr>
      <w:tr w14:paraId="55A861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7"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6627F">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1965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洲心街道临时建筑垃圾消纳场</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2E22">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广东省清远市清城区洲心街道环城东北路与清佛公路交界东北侧</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579AA">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60.00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C08F8">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24000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D8FA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工程渣土、工程垃圾、拆除垃圾、装修垃圾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D18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已发临时证，具备资源化利用功能</w:t>
            </w:r>
          </w:p>
        </w:tc>
      </w:tr>
      <w:tr w14:paraId="5C923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0A43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4</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F8883">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石角镇临时建筑垃圾消纳场</w:t>
            </w: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F9E87">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广东省清远市清城区石角镇华雄大道西侧地块</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A33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30.00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9A36">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12946.54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8246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工程渣土、工程垃圾、拆除垃圾</w:t>
            </w: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59B9E">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已发临时证，具备资源化利用功能</w:t>
            </w:r>
          </w:p>
        </w:tc>
      </w:tr>
      <w:tr w14:paraId="1F25F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54FF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1D59">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A33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90C1">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225.00 </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325AC">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sz w:val="24"/>
                <w:szCs w:val="24"/>
                <w:highlight w:val="none"/>
                <w:u w:val="none"/>
                <w:lang w:val="en-US" w:eastAsia="zh-CN"/>
              </w:rPr>
              <w:t xml:space="preserve">277198.19 </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09D70">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CC844">
            <w:pPr>
              <w:keepNext w:val="0"/>
              <w:keepLines w:val="0"/>
              <w:widowControl/>
              <w:suppressLineNumbers w:val="0"/>
              <w:spacing w:line="240" w:lineRule="auto"/>
              <w:jc w:val="center"/>
              <w:textAlignment w:val="center"/>
              <w:rPr>
                <w:rFonts w:hint="eastAsia" w:ascii="仿宋" w:hAnsi="仿宋" w:eastAsia="仿宋" w:cs="仿宋"/>
                <w:i w:val="0"/>
                <w:iCs w:val="0"/>
                <w:color w:val="000000"/>
                <w:sz w:val="24"/>
                <w:szCs w:val="24"/>
                <w:highlight w:val="none"/>
                <w:u w:val="none"/>
              </w:rPr>
            </w:pPr>
          </w:p>
        </w:tc>
      </w:tr>
    </w:tbl>
    <w:p w14:paraId="7A5D08D2">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0" w:firstLineChars="0"/>
        <w:jc w:val="both"/>
        <w:textAlignment w:val="auto"/>
        <w:rPr>
          <w:rFonts w:hint="eastAsia" w:ascii="仿宋" w:hAnsi="仿宋" w:eastAsia="仿宋" w:cs="仿宋"/>
          <w:b/>
          <w:bCs/>
          <w:color w:val="auto"/>
          <w:spacing w:val="0"/>
          <w:kern w:val="2"/>
          <w:sz w:val="28"/>
          <w:szCs w:val="28"/>
          <w:highlight w:val="none"/>
          <w:lang w:val="en-US" w:eastAsia="zh-CN" w:bidi="ar-SA"/>
        </w:rPr>
      </w:pPr>
      <w:r>
        <w:rPr>
          <w:rFonts w:hint="eastAsia" w:ascii="仿宋" w:hAnsi="仿宋" w:eastAsia="仿宋" w:cs="仿宋"/>
          <w:b w:val="0"/>
          <w:bCs w:val="0"/>
          <w:color w:val="auto"/>
          <w:spacing w:val="0"/>
          <w:sz w:val="28"/>
          <w:szCs w:val="28"/>
          <w:highlight w:val="none"/>
          <w:lang w:val="en-US" w:eastAsia="zh-CN"/>
        </w:rPr>
        <w:t>注：上表总体规模含既有市级管辖消纳场剩余库容</w:t>
      </w:r>
      <w:r>
        <w:rPr>
          <w:rFonts w:hint="eastAsia" w:ascii="仿宋" w:hAnsi="仿宋" w:cs="仿宋"/>
          <w:b w:val="0"/>
          <w:bCs w:val="0"/>
          <w:color w:val="auto"/>
          <w:spacing w:val="0"/>
          <w:sz w:val="28"/>
          <w:szCs w:val="28"/>
          <w:highlight w:val="none"/>
          <w:lang w:val="en-US" w:eastAsia="zh-CN"/>
        </w:rPr>
        <w:t>,后续将根据各镇街实际情况增加中转站数量</w:t>
      </w:r>
      <w:r>
        <w:rPr>
          <w:rFonts w:hint="eastAsia" w:ascii="仿宋" w:hAnsi="仿宋" w:eastAsia="仿宋" w:cs="仿宋"/>
          <w:b w:val="0"/>
          <w:bCs w:val="0"/>
          <w:color w:val="auto"/>
          <w:spacing w:val="0"/>
          <w:sz w:val="28"/>
          <w:szCs w:val="28"/>
          <w:highlight w:val="none"/>
          <w:lang w:val="en-US" w:eastAsia="zh-CN"/>
        </w:rPr>
        <w:t>。</w:t>
      </w:r>
    </w:p>
    <w:p w14:paraId="3897A8D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4" w:name="_Toc14570"/>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消纳场运营与监督管理要求</w:t>
      </w:r>
      <w:bookmarkEnd w:id="64"/>
    </w:p>
    <w:p w14:paraId="52CA1B4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建筑垃圾消纳场应当遵守下列规定：（1）建立规范完整的生产台账，并定期向建筑垃圾主管部门报送数据；（2）不得超过经核准的堆放容量；（3）分区、分类堆填，按照有关规定进行作业规划、设计和运营</w:t>
      </w:r>
      <w:r>
        <w:rPr>
          <w:rFonts w:hint="eastAsia" w:ascii="仿宋" w:hAnsi="仿宋" w:cs="仿宋"/>
          <w:color w:val="auto"/>
          <w:spacing w:val="0"/>
          <w:sz w:val="32"/>
          <w:szCs w:val="32"/>
          <w:highlight w:val="none"/>
          <w:lang w:val="en-US" w:eastAsia="zh-CN"/>
        </w:rPr>
        <w:t>；</w:t>
      </w:r>
      <w:r>
        <w:rPr>
          <w:rFonts w:hint="eastAsia" w:ascii="仿宋" w:hAnsi="仿宋" w:eastAsia="仿宋" w:cs="仿宋"/>
          <w:color w:val="auto"/>
          <w:spacing w:val="0"/>
          <w:sz w:val="32"/>
          <w:szCs w:val="32"/>
          <w:highlight w:val="none"/>
          <w:lang w:val="en-US" w:eastAsia="zh-CN"/>
        </w:rPr>
        <w:t>（4）不得接收生活垃圾、污泥、河道疏浚底泥、工业垃圾和危险废物等；（5）建立安全管理制度，采取有效措施保障安全生产，防止失稳滑坡、环境污染、水土流失或者其他危害</w:t>
      </w:r>
      <w:r>
        <w:rPr>
          <w:rFonts w:hint="eastAsia" w:ascii="仿宋" w:hAnsi="仿宋" w:cs="仿宋"/>
          <w:color w:val="auto"/>
          <w:spacing w:val="0"/>
          <w:sz w:val="32"/>
          <w:szCs w:val="32"/>
          <w:highlight w:val="none"/>
          <w:lang w:val="en-US" w:eastAsia="zh-CN"/>
        </w:rPr>
        <w:t>；（6）</w:t>
      </w:r>
      <w:r>
        <w:rPr>
          <w:rFonts w:hint="eastAsia" w:ascii="仿宋" w:hAnsi="仿宋" w:eastAsia="仿宋" w:cs="仿宋"/>
          <w:color w:val="auto"/>
          <w:spacing w:val="0"/>
          <w:sz w:val="32"/>
          <w:szCs w:val="32"/>
          <w:highlight w:val="none"/>
          <w:lang w:val="en-US" w:eastAsia="zh-CN"/>
        </w:rPr>
        <w:t>法律、法规、规章规定的其他要求。</w:t>
      </w:r>
    </w:p>
    <w:p w14:paraId="7DD6F03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5" w:name="_Toc29630"/>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区域处置规划</w:t>
      </w:r>
      <w:bookmarkEnd w:id="65"/>
    </w:p>
    <w:p w14:paraId="59FD1B3A">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清城区</w:t>
      </w:r>
      <w:r>
        <w:rPr>
          <w:rFonts w:hint="eastAsia" w:ascii="仿宋" w:hAnsi="仿宋" w:cs="仿宋"/>
          <w:color w:val="auto"/>
          <w:spacing w:val="0"/>
          <w:sz w:val="32"/>
          <w:szCs w:val="32"/>
          <w:highlight w:val="none"/>
          <w:lang w:val="en-US" w:eastAsia="zh-CN"/>
        </w:rPr>
        <w:t>可与</w:t>
      </w:r>
      <w:r>
        <w:rPr>
          <w:rFonts w:hint="eastAsia" w:ascii="仿宋" w:hAnsi="仿宋" w:eastAsia="仿宋" w:cs="仿宋"/>
          <w:color w:val="auto"/>
          <w:spacing w:val="0"/>
          <w:sz w:val="32"/>
          <w:szCs w:val="32"/>
          <w:highlight w:val="none"/>
          <w:lang w:val="en-US" w:eastAsia="zh-CN"/>
        </w:rPr>
        <w:t>清新区共建共享建筑垃圾处理处置设施，有效保障</w:t>
      </w:r>
      <w:r>
        <w:rPr>
          <w:rFonts w:hint="eastAsia" w:ascii="仿宋" w:hAnsi="仿宋" w:cs="仿宋"/>
          <w:color w:val="auto"/>
          <w:spacing w:val="0"/>
          <w:sz w:val="32"/>
          <w:szCs w:val="32"/>
          <w:highlight w:val="none"/>
          <w:lang w:val="en-US" w:eastAsia="zh-CN"/>
        </w:rPr>
        <w:t>清远市</w:t>
      </w:r>
      <w:r>
        <w:rPr>
          <w:rFonts w:hint="eastAsia" w:ascii="仿宋" w:hAnsi="仿宋" w:eastAsia="仿宋" w:cs="仿宋"/>
          <w:color w:val="auto"/>
          <w:spacing w:val="0"/>
          <w:sz w:val="32"/>
          <w:szCs w:val="32"/>
          <w:highlight w:val="none"/>
          <w:lang w:val="en-US" w:eastAsia="zh-CN"/>
        </w:rPr>
        <w:t>中心城区建筑垃圾的安全处置，</w:t>
      </w:r>
      <w:r>
        <w:rPr>
          <w:rFonts w:hint="eastAsia" w:ascii="仿宋" w:hAnsi="仿宋" w:cs="仿宋"/>
          <w:color w:val="auto"/>
          <w:spacing w:val="0"/>
          <w:sz w:val="32"/>
          <w:szCs w:val="32"/>
          <w:highlight w:val="none"/>
          <w:lang w:val="en-US" w:eastAsia="zh-CN"/>
        </w:rPr>
        <w:t>共同</w:t>
      </w:r>
      <w:r>
        <w:rPr>
          <w:rFonts w:hint="eastAsia" w:ascii="仿宋" w:hAnsi="仿宋" w:eastAsia="仿宋" w:cs="仿宋"/>
          <w:color w:val="auto"/>
          <w:spacing w:val="0"/>
          <w:sz w:val="32"/>
          <w:szCs w:val="32"/>
          <w:highlight w:val="none"/>
          <w:lang w:val="en-US" w:eastAsia="zh-CN"/>
        </w:rPr>
        <w:t>促进两区建筑垃圾区域内自平衡。</w:t>
      </w:r>
    </w:p>
    <w:p w14:paraId="47593766">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6" w:name="_Toc21837"/>
      <w:r>
        <w:rPr>
          <w:rFonts w:hint="eastAsia" w:ascii="仿宋" w:hAnsi="仿宋" w:eastAsia="方正楷体_GB2312" w:cs="仿宋"/>
          <w:b/>
          <w:bCs w:val="0"/>
          <w:color w:val="auto"/>
          <w:spacing w:val="0"/>
          <w:kern w:val="2"/>
          <w:sz w:val="32"/>
          <w:szCs w:val="32"/>
          <w:lang w:val="en-US" w:eastAsia="zh-CN" w:bidi="ar-SA"/>
        </w:rPr>
        <w:t>（六）</w:t>
      </w:r>
      <w:r>
        <w:rPr>
          <w:rFonts w:hint="eastAsia" w:ascii="仿宋" w:hAnsi="仿宋" w:eastAsia="仿宋" w:cs="仿宋"/>
          <w:b/>
          <w:bCs w:val="0"/>
          <w:color w:val="auto"/>
          <w:spacing w:val="0"/>
          <w:kern w:val="2"/>
          <w:sz w:val="32"/>
          <w:szCs w:val="32"/>
          <w:highlight w:val="none"/>
          <w:lang w:val="en-US" w:eastAsia="zh-CN" w:bidi="ar-SA"/>
        </w:rPr>
        <w:t>跨市处置要求与规划</w:t>
      </w:r>
      <w:bookmarkEnd w:id="66"/>
    </w:p>
    <w:p w14:paraId="72A551E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cs="仿宋"/>
          <w:color w:val="auto"/>
          <w:spacing w:val="0"/>
          <w:sz w:val="32"/>
          <w:szCs w:val="32"/>
          <w:highlight w:val="none"/>
          <w:lang w:val="en-US" w:eastAsia="zh-CN"/>
        </w:rPr>
        <w:t>清城区</w:t>
      </w:r>
      <w:r>
        <w:rPr>
          <w:rFonts w:hint="eastAsia" w:ascii="仿宋" w:hAnsi="仿宋" w:eastAsia="仿宋" w:cs="仿宋"/>
          <w:color w:val="auto"/>
          <w:spacing w:val="0"/>
          <w:sz w:val="32"/>
          <w:szCs w:val="32"/>
          <w:highlight w:val="none"/>
          <w:lang w:val="en-US" w:eastAsia="zh-CN"/>
        </w:rPr>
        <w:t>建筑垃圾处置以自平衡为主，市内建筑垃圾至市外跨区域平衡处置为应急处置措施；清城区可结合实际，在保障区域内建筑垃圾安全处置的前提下，</w:t>
      </w:r>
      <w:r>
        <w:rPr>
          <w:rFonts w:hint="eastAsia" w:ascii="仿宋" w:hAnsi="仿宋" w:cs="仿宋"/>
          <w:color w:val="auto"/>
          <w:spacing w:val="0"/>
          <w:sz w:val="32"/>
          <w:szCs w:val="32"/>
          <w:highlight w:val="none"/>
          <w:lang w:val="en-US" w:eastAsia="zh-CN"/>
        </w:rPr>
        <w:t>按照《清远市建筑垃圾跨行政区域平衡处置工作指引（试行）》</w:t>
      </w:r>
      <w:r>
        <w:rPr>
          <w:rFonts w:hint="eastAsia" w:ascii="仿宋" w:hAnsi="仿宋" w:eastAsia="仿宋" w:cs="仿宋"/>
          <w:color w:val="auto"/>
          <w:spacing w:val="0"/>
          <w:sz w:val="32"/>
          <w:szCs w:val="32"/>
          <w:highlight w:val="none"/>
          <w:lang w:val="en-US" w:eastAsia="zh-CN"/>
        </w:rPr>
        <w:t>依法依规接收市外建筑垃圾处理处置，以扶持资源化企业发展，同时创造一定的财政收入。</w:t>
      </w:r>
    </w:p>
    <w:p w14:paraId="43F64DF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原则上可进行跨市处置的建筑垃圾类别为工程渣土，跨市处置相关工作应符合《广东省建筑垃圾跨区域平衡处置和生态补偿管理办法》等规定。建筑垃圾跨区域平衡处置前，排放单位应当在省协作平台进行申报，发起建筑垃圾跨区域平衡处置登记，填写建筑垃圾排放时间、地点、类别、产生量、运输工具、运输路线、消纳单位等信息，并上传城市建筑垃圾处置核准证、建筑垃圾相关检测报告。依次经排放单位、消纳单位、接收地县级以上建筑垃圾主管部门、排放地县级以上建筑垃圾主管部门核对确认并签字盖章，盖章后将表格上传至平台。</w:t>
      </w:r>
    </w:p>
    <w:p w14:paraId="2E8639D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探索生态补偿与第三方监管相结合的模式。与周边城市建立长期合作机制的基础上，建立建筑垃圾跨区域处置生态补偿机制，签订生态补偿协议。推进建筑垃圾跨市处置第三方监管模式，由接收地委托第三方监管单位提供跨市处置全流程监管服务，并促进地市部门间的协调联动，相关费用纳入生态补偿协议。</w:t>
      </w:r>
    </w:p>
    <w:p w14:paraId="1DAA5A82">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67" w:name="_Toc28911"/>
      <w:r>
        <w:rPr>
          <w:rFonts w:hint="eastAsia" w:ascii="仿宋" w:hAnsi="仿宋" w:eastAsia="方正楷体_GB2312" w:cs="仿宋"/>
          <w:b/>
          <w:bCs w:val="0"/>
          <w:color w:val="auto"/>
          <w:spacing w:val="0"/>
          <w:kern w:val="2"/>
          <w:sz w:val="32"/>
          <w:szCs w:val="32"/>
          <w:lang w:val="en-US" w:eastAsia="zh-CN" w:bidi="ar-SA"/>
        </w:rPr>
        <w:t>（七）</w:t>
      </w:r>
      <w:r>
        <w:rPr>
          <w:rFonts w:hint="eastAsia" w:ascii="仿宋" w:hAnsi="仿宋" w:eastAsia="仿宋" w:cs="仿宋"/>
          <w:b/>
          <w:bCs w:val="0"/>
          <w:color w:val="auto"/>
          <w:spacing w:val="0"/>
          <w:kern w:val="2"/>
          <w:sz w:val="32"/>
          <w:szCs w:val="32"/>
          <w:highlight w:val="none"/>
          <w:lang w:val="en-US" w:eastAsia="zh-CN" w:bidi="ar-SA"/>
        </w:rPr>
        <w:t>建筑垃圾存量治理原则</w:t>
      </w:r>
      <w:bookmarkEnd w:id="67"/>
    </w:p>
    <w:p w14:paraId="2943F500">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1.存量治理工作机制：</w:t>
      </w:r>
      <w:r>
        <w:rPr>
          <w:rFonts w:hint="eastAsia" w:ascii="仿宋" w:hAnsi="仿宋" w:eastAsia="仿宋" w:cs="仿宋"/>
          <w:color w:val="auto"/>
          <w:spacing w:val="0"/>
          <w:sz w:val="32"/>
          <w:szCs w:val="32"/>
          <w:highlight w:val="none"/>
          <w:lang w:val="en-US" w:eastAsia="zh-CN"/>
        </w:rPr>
        <w:t>建筑垃圾主管部门以及住房城乡建设、自然资源、生态环境、水利等部门应联合制定全方位、多层次的建筑垃圾存量治理工作机制，涵盖摸底排查、全面治理和长效监管等多个关键环节，旨在精准把握并有效应对各类存量问题；制定科学有效的建筑垃圾存量治理计划，包括估算治理规模、明确治理期限和责任分工、制定具体措施等。</w:t>
      </w:r>
    </w:p>
    <w:p w14:paraId="10CAC7CA">
      <w:pPr>
        <w:keepNext w:val="0"/>
        <w:keepLines w:val="0"/>
        <w:pageBreakBefore w:val="0"/>
        <w:widowControl/>
        <w:shd w:val="clear" w:color="auto" w:fill="auto"/>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2.存量治理工作要求：</w:t>
      </w:r>
      <w:r>
        <w:rPr>
          <w:rFonts w:hint="eastAsia" w:ascii="仿宋" w:hAnsi="仿宋" w:eastAsia="仿宋" w:cs="仿宋"/>
          <w:color w:val="auto"/>
          <w:spacing w:val="0"/>
          <w:sz w:val="32"/>
          <w:szCs w:val="32"/>
          <w:highlight w:val="none"/>
          <w:lang w:val="en-US" w:eastAsia="zh-CN"/>
        </w:rPr>
        <w:t>存量治理要求需从多个方面入手，注重属地管理、一场一策、筛分治理、控制增量以及科技手段的运用等。同时，加强宣传教育和建立长效机制也是保障治理效果持续稳定的重要措施。通过综合施策、多管齐下，有效推进建筑垃圾治理工作。</w:t>
      </w:r>
    </w:p>
    <w:p w14:paraId="169BBF8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cs="仿宋"/>
          <w:color w:val="auto"/>
          <w:spacing w:val="0"/>
          <w:sz w:val="32"/>
          <w:szCs w:val="32"/>
          <w:highlight w:val="none"/>
          <w:lang w:val="en-US" w:eastAsia="zh-CN"/>
        </w:rPr>
        <w:t>相关</w:t>
      </w:r>
      <w:r>
        <w:rPr>
          <w:rFonts w:hint="eastAsia" w:ascii="仿宋" w:hAnsi="仿宋" w:eastAsia="仿宋" w:cs="仿宋"/>
          <w:color w:val="auto"/>
          <w:spacing w:val="0"/>
          <w:sz w:val="32"/>
          <w:szCs w:val="32"/>
          <w:highlight w:val="none"/>
          <w:lang w:val="en-US" w:eastAsia="zh-CN"/>
        </w:rPr>
        <w:t>主管部门应全面排查、评估存量建筑垃圾情况，对占用耕地和永久基本农田保护红线、生态保护红线、自然保护地和地质灾害风险区的临时贮存场所，要督促有关责任主体将建筑垃圾有序转移至建筑垃圾资源化利用设施或处置场所。涉及占用耕地地块的</w:t>
      </w:r>
      <w:r>
        <w:rPr>
          <w:rFonts w:hint="eastAsia" w:ascii="仿宋" w:hAnsi="仿宋" w:cs="仿宋"/>
          <w:color w:val="auto"/>
          <w:spacing w:val="0"/>
          <w:sz w:val="32"/>
          <w:szCs w:val="32"/>
          <w:highlight w:val="none"/>
          <w:lang w:val="en-US" w:eastAsia="zh-CN"/>
        </w:rPr>
        <w:t>建筑垃圾</w:t>
      </w:r>
      <w:r>
        <w:rPr>
          <w:rFonts w:hint="eastAsia" w:ascii="仿宋" w:hAnsi="仿宋" w:eastAsia="仿宋" w:cs="仿宋"/>
          <w:color w:val="auto"/>
          <w:spacing w:val="0"/>
          <w:sz w:val="32"/>
          <w:szCs w:val="32"/>
          <w:highlight w:val="none"/>
          <w:lang w:val="en-US" w:eastAsia="zh-CN"/>
        </w:rPr>
        <w:t>，要</w:t>
      </w:r>
      <w:r>
        <w:rPr>
          <w:rFonts w:hint="eastAsia" w:ascii="仿宋" w:hAnsi="仿宋" w:cs="仿宋"/>
          <w:color w:val="auto"/>
          <w:spacing w:val="0"/>
          <w:sz w:val="32"/>
          <w:szCs w:val="32"/>
          <w:highlight w:val="none"/>
          <w:lang w:val="en-US" w:eastAsia="zh-CN"/>
        </w:rPr>
        <w:t>督促相关责任单位/人</w:t>
      </w:r>
      <w:r>
        <w:rPr>
          <w:rFonts w:hint="eastAsia" w:ascii="仿宋" w:hAnsi="仿宋" w:eastAsia="仿宋" w:cs="仿宋"/>
          <w:color w:val="auto"/>
          <w:spacing w:val="0"/>
          <w:sz w:val="32"/>
          <w:szCs w:val="32"/>
          <w:highlight w:val="none"/>
          <w:lang w:val="en-US" w:eastAsia="zh-CN"/>
        </w:rPr>
        <w:t>做到对建筑垃圾的彻底清运，还应按原有情况同步恢复田间道路、灌溉设施等农田配套设施，与周边相邻的农田配套设施相贯通，确保满足正常耕种条件，坚决防止简单覆土代替整改。对存在环境隐患或造成环境污染的临时贮存场所，进行污染防控和治理。无法原位防控和治理的，将建筑垃圾有序转移至建筑垃圾资源化利用设施或处置场所。暂时无法转移的，应完善整治方案，明确完成时限，强化监测和管控措施，确保安全。</w:t>
      </w:r>
    </w:p>
    <w:p w14:paraId="5CDB549A">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68" w:name="_Toc2082"/>
      <w:bookmarkStart w:id="69" w:name="_Toc14794"/>
      <w:r>
        <w:rPr>
          <w:rFonts w:hint="eastAsia" w:ascii="仿宋" w:hAnsi="仿宋" w:eastAsia="黑体" w:cs="仿宋"/>
          <w:b/>
          <w:bCs/>
          <w:color w:val="auto"/>
          <w:spacing w:val="0"/>
          <w:kern w:val="0"/>
          <w:sz w:val="32"/>
          <w:szCs w:val="32"/>
          <w:lang w:val="en-US" w:eastAsia="zh-CN" w:bidi="ar-SA"/>
        </w:rPr>
        <w:t>九、</w:t>
      </w:r>
      <w:r>
        <w:rPr>
          <w:rFonts w:hint="eastAsia" w:ascii="仿宋" w:hAnsi="仿宋" w:eastAsia="仿宋" w:cs="仿宋"/>
          <w:b/>
          <w:bCs/>
          <w:color w:val="auto"/>
          <w:spacing w:val="0"/>
          <w:sz w:val="32"/>
          <w:szCs w:val="32"/>
          <w:highlight w:val="none"/>
          <w:lang w:val="en-US" w:eastAsia="zh-CN"/>
        </w:rPr>
        <w:t>环境污染防治措施</w:t>
      </w:r>
      <w:bookmarkEnd w:id="68"/>
      <w:bookmarkEnd w:id="69"/>
    </w:p>
    <w:p w14:paraId="60AC36F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0" w:name="_Toc13795"/>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建筑垃圾污染防控措施</w:t>
      </w:r>
      <w:bookmarkEnd w:id="70"/>
    </w:p>
    <w:p w14:paraId="1ACE5A73">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1.工程渣土污染防控措施</w:t>
      </w:r>
    </w:p>
    <w:p w14:paraId="3011BBC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（1）工程渣土收集运输污染防控措施</w:t>
      </w:r>
    </w:p>
    <w:p w14:paraId="51EBFEB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①施工单位应当在建设工程开工前，将建筑垃圾处理方案报项目所在地的建筑垃圾主管部门备案。</w:t>
      </w:r>
    </w:p>
    <w:p w14:paraId="4611D23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②根据不同土质性状和用途，按照工程渣土分类标准，采取不同的处置措施。</w:t>
      </w:r>
    </w:p>
    <w:p w14:paraId="504CE53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③在施工工地出口设置符合相关规定的车辆冲洗和排水、废浆沉淀设施，车辆冲洗清洁后方可出场。</w:t>
      </w:r>
    </w:p>
    <w:p w14:paraId="381C840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④运输单位应当按照核准文件装载建筑垃圾。</w:t>
      </w:r>
    </w:p>
    <w:p w14:paraId="74E0B47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⑤运输单位应当将工程渣土运送至核准文件要求的场所。</w:t>
      </w:r>
    </w:p>
    <w:p w14:paraId="2185017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⑥运输单位车辆应当保持密闭化运输，不得沿途滴漏、遗撒；不得车轮带泥、车体挂泥上路行驶；运输单位船舱应当保持密闭覆盖，不得沿途抛撒；施工单位采用管道输送方式运输工程渣土的，应当做好输送管道和配套设施的日常运营维护，不得沿途滴漏、遗撒，污染环境。</w:t>
      </w:r>
    </w:p>
    <w:p w14:paraId="3933A0E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⑦施工现场和中转调配设施工程渣土的堆放应满足地基承载要求，且高度不宜超过3m；当超过3m时，应进行堆体和地基的稳定性验算。</w:t>
      </w:r>
    </w:p>
    <w:p w14:paraId="60623C5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（2）工程渣土消纳设施和场所污染防控措施</w:t>
      </w:r>
    </w:p>
    <w:p w14:paraId="1820B20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①设施、场所投入使用前应编制环境质量监测方案，监测项目应包括环境噪声、大气扬尘污染、地下水水质。</w:t>
      </w:r>
    </w:p>
    <w:p w14:paraId="140CAAAA">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②应开展土壤性质调查，设施消纳场所接收的工程渣土，应符合相应法律法规和标准规范要求。</w:t>
      </w:r>
    </w:p>
    <w:p w14:paraId="0B799CE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③运营过程中做好环境噪声、扬尘治理、堆体稳定性检测和环境监测等工作。非作业区域宜采取临时覆盖、绿化或喷洒生物抑尘剂等措施防止扬尘污染。污水排放应满足国家现行标准规定或环境影响评价要求。</w:t>
      </w:r>
    </w:p>
    <w:p w14:paraId="08B5E48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④工程渣土堆填消纳场还应当遵守下列规定：接纳处置核准文件确定的建筑垃圾种类，不得接纳非建筑垃圾等其他固体废物；按照相关技术规范和标准作业，达到设计标高后，及时封场复绿；安排现场管理人员对进出场运输车辆进行指挥，引导其有序进场、倾卸以及出场；根据设计在填埋堆体内设置集水排水设施，并根据作业情况完善防洪排涝工程措施；按照有关规定开展堆体和坝体沉降、位移、含水量等指标监测，委托专业机构开展堆体和坝体稳定性评估；场地出入口、进场道路及填埋作业区等区域应当采取扬尘污染、水污染防治措施，裸露区域应当覆盖防尘网或者进行绿化。</w:t>
      </w:r>
    </w:p>
    <w:p w14:paraId="5736C17B">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2.工程泥浆污染防控措施</w:t>
      </w:r>
    </w:p>
    <w:p w14:paraId="330704D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（1）工程泥浆应通过工程现场设置的泥浆池或密闭容器收集、存放、未经处理的工程泥浆不得就地或随意排放。</w:t>
      </w:r>
    </w:p>
    <w:p w14:paraId="64E93BCC">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（2）鼓励施工单位采用现场泥沙分离、泥浆脱水预处理工艺，减少建设工程垃圾的排放。</w:t>
      </w:r>
    </w:p>
    <w:p w14:paraId="2AB84406">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（3）施工单位采用管道输送方式运输工程泥浆的，应当做好输送管道和配套设施的日常运营维护，不得沿途滴漏、遗撒，污染环境。</w:t>
      </w:r>
    </w:p>
    <w:p w14:paraId="0A35B14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（4）废弃泥浆集中处置时，应配备成套的泥浆处置设备，处置过程应符合节能、环保要求。</w:t>
      </w:r>
    </w:p>
    <w:p w14:paraId="4EA857E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（5）废弃泥浆处置后形成的泥饼，应进行对应用途的有害物质检测。检测合格或无害化处理后予以再生利用。</w:t>
      </w:r>
    </w:p>
    <w:p w14:paraId="23FB7A86">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3.工程垃圾污染防控措施</w:t>
      </w:r>
    </w:p>
    <w:p w14:paraId="24D18726">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（1）施工现场应设置工程垃圾存放点，并应设置分类存放标识牌，应制作围挡设施或封闭建造，并采取防泄漏、防飞扬、消防应急安全等措施。</w:t>
      </w:r>
    </w:p>
    <w:p w14:paraId="642F4A4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（2）工地现场工程垃圾处置需满足噪声、扬尘等环境保护要求。</w:t>
      </w:r>
    </w:p>
    <w:p w14:paraId="5336A44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（3）工程垃圾堆场应设置雨、污分流设施，并采取有效措施防止堆场地表水污染周边环境。</w:t>
      </w:r>
    </w:p>
    <w:p w14:paraId="3919920C">
      <w:pPr>
        <w:widowControl/>
        <w:overflowPunct w:val="0"/>
        <w:adjustRightInd/>
        <w:snapToGrid/>
        <w:spacing w:line="600" w:lineRule="exact"/>
        <w:ind w:firstLine="643" w:firstLineChars="200"/>
        <w:jc w:val="both"/>
        <w:rPr>
          <w:rFonts w:hint="eastAsia" w:ascii="仿宋" w:hAnsi="仿宋" w:eastAsia="仿宋" w:cs="仿宋"/>
          <w:b/>
          <w:bCs/>
          <w:i w:val="0"/>
          <w:iCs w:val="0"/>
          <w:color w:val="auto"/>
          <w:spacing w:val="0"/>
          <w:kern w:val="2"/>
          <w:sz w:val="32"/>
          <w:szCs w:val="32"/>
          <w:highlight w:val="none"/>
          <w:vertAlign w:val="baseline"/>
          <w:lang w:val="en-US" w:eastAsia="zh-CN" w:bidi="ar-SA"/>
        </w:rPr>
      </w:pPr>
      <w:r>
        <w:rPr>
          <w:rFonts w:hint="eastAsia" w:ascii="仿宋" w:hAnsi="仿宋" w:eastAsia="仿宋" w:cs="仿宋"/>
          <w:b/>
          <w:bCs/>
          <w:i w:val="0"/>
          <w:iCs w:val="0"/>
          <w:color w:val="auto"/>
          <w:spacing w:val="0"/>
          <w:kern w:val="2"/>
          <w:sz w:val="32"/>
          <w:szCs w:val="32"/>
          <w:highlight w:val="none"/>
          <w:vertAlign w:val="baseline"/>
          <w:lang w:val="en-US" w:eastAsia="zh-CN" w:bidi="ar-SA"/>
        </w:rPr>
        <w:t>4.拆除垃圾、装修垃圾污染防控措施</w:t>
      </w:r>
    </w:p>
    <w:p w14:paraId="697B103A">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（1）拆除垃圾、装修垃圾收集运输污染防控措施</w:t>
      </w:r>
    </w:p>
    <w:p w14:paraId="6E1AD5F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①产生装修垃圾的单位和个人应当按照规定将装修垃圾分类袋装或者捆装后投放至指定的装修垃圾收集点，不得与生活垃圾混合投放。</w:t>
      </w:r>
    </w:p>
    <w:p w14:paraId="57D392A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②拆除垃圾、装修垃圾运输单位应取得建筑垃圾运输核准文件，保持车辆车况良好，车身整洁，不得超限超载运输；离开装车点前保持地面整洁、干净；车辆保持密闭化运输，不得沿途滴漏、遗撒。</w:t>
      </w:r>
    </w:p>
    <w:p w14:paraId="5973029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（2）拆除垃圾、装修垃圾消纳设施和场所</w:t>
      </w:r>
    </w:p>
    <w:p w14:paraId="23B17DD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①接纳处置核准文件确定的建筑垃圾种类，不得接纳非建筑垃圾的其他固体废物。</w:t>
      </w:r>
    </w:p>
    <w:p w14:paraId="2E93E30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②应优先选用噪声值低处理设备，封闭车间采取隔声降噪措施，合理设置绿化和围墙，利用建筑物合理布局，阻隔声波传播。</w:t>
      </w:r>
    </w:p>
    <w:p w14:paraId="70C8C66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③在出口设置符合相关规定的车辆冲洗设施，车辆冲洗清洁后方可出场，采取扬尘污染、水污染防控措施，保持出入口、通行道路以及附属设施等周边环境整洁。</w:t>
      </w:r>
    </w:p>
    <w:p w14:paraId="682F2CE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④堆放场地需硬化处理。</w:t>
      </w:r>
    </w:p>
    <w:p w14:paraId="75A15CB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⑤无法利用部分应当实施无害化处置。其中，有毒有害物品应交由有资质处理单位处置。</w:t>
      </w:r>
    </w:p>
    <w:p w14:paraId="3EA7BA61">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1" w:name="_Toc32711"/>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水环境保护与防治</w:t>
      </w:r>
      <w:bookmarkEnd w:id="71"/>
    </w:p>
    <w:p w14:paraId="0C7FCADA">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建筑垃圾产生、收集、运输、处理环节的水环境污染防控措施应满足《中华人民共和国水污染防治法》等法律、法规、标准和相关环评的要求。建筑垃圾消纳场所的水环境污染防控措施包括但不限于以下内容：</w:t>
      </w:r>
    </w:p>
    <w:p w14:paraId="69F44C7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1.资源化利用项目的生产废水应经处理后循环利用，未经处理达标的生产废水不应直接外排。</w:t>
      </w:r>
    </w:p>
    <w:p w14:paraId="3C30AC4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2.消纳场污水处理后排放标准应达到国家现行相关标准的指标要求或环保部门规定执行的排放标准。</w:t>
      </w:r>
    </w:p>
    <w:p w14:paraId="7733D13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3.生活污水应按照相关要求经厂（场）内预处理后纳入市政污水处理系统。</w:t>
      </w:r>
    </w:p>
    <w:p w14:paraId="27CDA864">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2" w:name="_Toc24828"/>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大气环境保护与防治</w:t>
      </w:r>
      <w:bookmarkEnd w:id="72"/>
    </w:p>
    <w:p w14:paraId="185A496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产生、收集、运输、处理环节的大气环境污染防控措施应满足《中华人民共和国大气污染防治法》等法律、法规、标准和相关环评的要求。建筑垃圾消纳场所的大气环境污染防控措施包括但不限于以下内容：</w:t>
      </w:r>
    </w:p>
    <w:p w14:paraId="110B6DB6">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1.应做好堆体临时覆盖，必要时安装防风抑尘网。</w:t>
      </w:r>
    </w:p>
    <w:p w14:paraId="301390E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2.应通过洒水降尘、封闭设备、局部抽吸等措施控制粉尘污染，并符合《建筑废弃物再生工厂设计标准》（GB 51322）、《建筑垃圾处理技术标准》（CJJ/T 134）的规定。</w:t>
      </w:r>
    </w:p>
    <w:p w14:paraId="553999B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3.施工现场尘控措施应符合相关规定。</w:t>
      </w:r>
    </w:p>
    <w:p w14:paraId="6823E82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4.扬尘排放应符合《大气污染物综合排放标准》（GB 16297）的规定。</w:t>
      </w:r>
    </w:p>
    <w:p w14:paraId="6251161E">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3" w:name="_Toc21610"/>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噪声环境保护与防治</w:t>
      </w:r>
      <w:bookmarkEnd w:id="73"/>
    </w:p>
    <w:p w14:paraId="33EA7C5C">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产生、收集、运输、处理环节的噪声环境污染防控措施应满足《中华人民共和国噪声污染防治法》等法律、法规、标准和相关环评的要求。建筑垃圾消纳场所的噪声环境污染防控措施包括但不限于以下内容：</w:t>
      </w:r>
    </w:p>
    <w:p w14:paraId="082D6E4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1.建筑垃圾消纳场所与生活管理区或周边居民区应设置绿化缓冲带，必要时设置隔声屏障。</w:t>
      </w:r>
    </w:p>
    <w:p w14:paraId="56FE7A9D">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2.噪声控制措施应符合《建筑垃圾处理技术标准》（CJJ/T 134）的规定。</w:t>
      </w:r>
    </w:p>
    <w:p w14:paraId="1F0DADA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3.厂（场）界噪声限值应符合《工业企业厂界环境噪声排放标准》（GB 12348）的规定。</w:t>
      </w:r>
    </w:p>
    <w:p w14:paraId="09D7EF3C">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4" w:name="_Toc31212"/>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土壤环境保护与防治</w:t>
      </w:r>
      <w:bookmarkEnd w:id="74"/>
    </w:p>
    <w:p w14:paraId="471C318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建筑垃圾产生、运输、处置环节的土壤环境污染防控措施应满足《中华人民共和国土壤污染防治法》等法律、法规、标准和相关环评的要求。建筑垃圾消纳场所的土壤环境污染防控措施包括但不限于以下内容：</w:t>
      </w:r>
    </w:p>
    <w:p w14:paraId="31AA58F0">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1.对于工程渣土，开展土壤性质调查，根据不同土质性状和用途，按照工程渣土分类标准，采取不同的处置措施。</w:t>
      </w:r>
    </w:p>
    <w:p w14:paraId="5945935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2.针对建筑垃圾对土壤带来的污染种类，应做好源头控制。</w:t>
      </w:r>
    </w:p>
    <w:p w14:paraId="0E9C192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3.积极做好污水导排系统和污水处理设施，做好填埋、消纳区植被覆盖，减轻污染。</w:t>
      </w:r>
    </w:p>
    <w:p w14:paraId="537AB4F7">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4.建筑垃圾治理建设项目各类涉及土地利用的规划和可能造成土壤污染的建设项目，应当依法进行环境影响评价。</w:t>
      </w:r>
    </w:p>
    <w:p w14:paraId="5D19D09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5.建筑垃圾治理项目用地和周边环境用地土壤保护应满足《中华人民共和国土壤污染防治法》和其他法律法规的相关规定。</w:t>
      </w:r>
    </w:p>
    <w:p w14:paraId="7D8D48FA">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5" w:name="_Toc31542"/>
      <w:bookmarkStart w:id="76" w:name="_Toc20578"/>
      <w:r>
        <w:rPr>
          <w:rFonts w:hint="eastAsia" w:ascii="仿宋" w:hAnsi="仿宋" w:eastAsia="方正楷体_GB2312" w:cs="仿宋"/>
          <w:b/>
          <w:bCs w:val="0"/>
          <w:color w:val="auto"/>
          <w:spacing w:val="0"/>
          <w:kern w:val="2"/>
          <w:sz w:val="32"/>
          <w:szCs w:val="32"/>
          <w:lang w:val="en-US" w:eastAsia="zh-CN" w:bidi="ar-SA"/>
        </w:rPr>
        <w:t>（六）</w:t>
      </w:r>
      <w:r>
        <w:rPr>
          <w:rFonts w:hint="eastAsia" w:ascii="仿宋" w:hAnsi="仿宋" w:eastAsia="仿宋" w:cs="仿宋"/>
          <w:b/>
          <w:bCs w:val="0"/>
          <w:color w:val="auto"/>
          <w:spacing w:val="0"/>
          <w:kern w:val="2"/>
          <w:sz w:val="32"/>
          <w:szCs w:val="32"/>
          <w:highlight w:val="none"/>
          <w:lang w:val="en-US" w:eastAsia="zh-CN" w:bidi="ar-SA"/>
        </w:rPr>
        <w:t>水土流失、地质灾害防治</w:t>
      </w:r>
      <w:bookmarkEnd w:id="75"/>
    </w:p>
    <w:p w14:paraId="090BD668">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严格执行水土保持的法律、法规及相关标准和技术规范，积极采取相应的水土保持措施。严格规范选址工程地质、水文地质条件与处置设施建设和运行的适配性，规避发震断层、滑坡、泥石流、流沙及采矿陷落区等地区。督促施工单位不定期开展地质环境监测，发现问题立即停止施工并进行整改。督促施工单位做好土石方、砂料等的平衡工作，缩短开挖裸露面暴露时间，并积极制定防治措施，最大化减少水土流失。严格雨季等特殊天气施工采用工程布覆盖、土石方堆坡面落实平整和密实要求。</w:t>
      </w:r>
    </w:p>
    <w:p w14:paraId="76AED2D5">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77" w:name="_Toc3671"/>
      <w:r>
        <w:rPr>
          <w:rFonts w:hint="eastAsia" w:ascii="仿宋" w:hAnsi="仿宋" w:eastAsia="黑体" w:cs="仿宋"/>
          <w:b/>
          <w:bCs/>
          <w:color w:val="auto"/>
          <w:spacing w:val="0"/>
          <w:kern w:val="0"/>
          <w:sz w:val="32"/>
          <w:szCs w:val="32"/>
          <w:lang w:val="en-US" w:eastAsia="zh-CN" w:bidi="ar-SA"/>
        </w:rPr>
        <w:t>十、</w:t>
      </w:r>
      <w:r>
        <w:rPr>
          <w:rFonts w:hint="eastAsia" w:ascii="仿宋" w:hAnsi="仿宋" w:eastAsia="仿宋" w:cs="仿宋"/>
          <w:b/>
          <w:bCs/>
          <w:color w:val="auto"/>
          <w:spacing w:val="0"/>
          <w:sz w:val="32"/>
          <w:szCs w:val="32"/>
          <w:highlight w:val="none"/>
          <w:lang w:val="en-US" w:eastAsia="zh-CN"/>
        </w:rPr>
        <w:t>管理体系规划</w:t>
      </w:r>
      <w:bookmarkEnd w:id="76"/>
      <w:bookmarkEnd w:id="77"/>
    </w:p>
    <w:p w14:paraId="12B7A240">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8" w:name="_Toc2727"/>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处置核准及方案备案机制</w:t>
      </w:r>
      <w:bookmarkEnd w:id="78"/>
    </w:p>
    <w:p w14:paraId="7CB4942C">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sz w:val="32"/>
          <w:szCs w:val="32"/>
          <w:highlight w:val="none"/>
          <w:lang w:eastAsia="zh-CN"/>
        </w:rPr>
        <w:t>根据《城市建筑垃圾管理规定》</w:t>
      </w:r>
      <w:r>
        <w:rPr>
          <w:rFonts w:hint="eastAsia" w:ascii="仿宋" w:hAnsi="仿宋" w:eastAsia="仿宋" w:cs="仿宋"/>
          <w:color w:val="auto"/>
          <w:spacing w:val="0"/>
          <w:sz w:val="32"/>
          <w:szCs w:val="32"/>
          <w:highlight w:val="none"/>
        </w:rPr>
        <w:t>《广东省建筑垃圾管理条例》</w:t>
      </w:r>
      <w:r>
        <w:rPr>
          <w:rFonts w:hint="eastAsia" w:ascii="仿宋" w:hAnsi="仿宋" w:eastAsia="仿宋" w:cs="仿宋"/>
          <w:color w:val="auto"/>
          <w:spacing w:val="0"/>
          <w:sz w:val="32"/>
          <w:szCs w:val="32"/>
          <w:highlight w:val="none"/>
          <w:lang w:eastAsia="zh-CN"/>
        </w:rPr>
        <w:t>《清远市市区建筑垃圾管理办法》等</w:t>
      </w:r>
      <w:r>
        <w:rPr>
          <w:rFonts w:hint="eastAsia" w:ascii="仿宋" w:hAnsi="仿宋" w:eastAsia="仿宋" w:cs="仿宋"/>
          <w:color w:val="auto"/>
          <w:spacing w:val="0"/>
          <w:kern w:val="2"/>
          <w:sz w:val="32"/>
          <w:szCs w:val="32"/>
          <w:highlight w:val="none"/>
          <w:lang w:val="en-US" w:eastAsia="zh-CN" w:bidi="ar-SA"/>
        </w:rPr>
        <w:t>规定，</w:t>
      </w:r>
      <w:r>
        <w:rPr>
          <w:rFonts w:hint="eastAsia" w:ascii="仿宋" w:hAnsi="仿宋" w:cs="仿宋"/>
          <w:color w:val="auto"/>
          <w:spacing w:val="0"/>
          <w:kern w:val="2"/>
          <w:sz w:val="32"/>
          <w:szCs w:val="32"/>
          <w:highlight w:val="none"/>
          <w:lang w:val="en-US" w:eastAsia="zh-CN" w:bidi="ar-SA"/>
        </w:rPr>
        <w:t>清城区</w:t>
      </w:r>
      <w:r>
        <w:rPr>
          <w:rFonts w:hint="eastAsia" w:ascii="仿宋" w:hAnsi="仿宋" w:eastAsia="仿宋" w:cs="仿宋"/>
          <w:color w:val="auto"/>
          <w:spacing w:val="0"/>
          <w:kern w:val="2"/>
          <w:sz w:val="32"/>
          <w:szCs w:val="32"/>
          <w:highlight w:val="none"/>
          <w:lang w:val="en-US" w:eastAsia="zh-CN" w:bidi="ar-SA"/>
        </w:rPr>
        <w:t>建筑垃圾排放、运输及处置等全流程各环节实行处置核准制，并实行建筑垃圾处理方案备案制。</w:t>
      </w:r>
    </w:p>
    <w:p w14:paraId="741D518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建设单位或施工单位向施工场地外处置建筑垃圾的，应在工程开工前向项目所在地的建筑垃圾主管部门申请核发《</w:t>
      </w:r>
      <w:r>
        <w:rPr>
          <w:rFonts w:hint="eastAsia" w:ascii="仿宋" w:hAnsi="仿宋" w:cs="仿宋"/>
          <w:color w:val="auto"/>
          <w:spacing w:val="0"/>
          <w:kern w:val="2"/>
          <w:sz w:val="32"/>
          <w:szCs w:val="32"/>
          <w:highlight w:val="none"/>
          <w:lang w:val="en-US" w:eastAsia="zh-CN" w:bidi="ar-SA"/>
        </w:rPr>
        <w:t>城市建筑垃圾排放证</w:t>
      </w:r>
      <w:r>
        <w:rPr>
          <w:rFonts w:hint="eastAsia" w:ascii="仿宋" w:hAnsi="仿宋" w:eastAsia="仿宋" w:cs="仿宋"/>
          <w:color w:val="auto"/>
          <w:spacing w:val="0"/>
          <w:kern w:val="2"/>
          <w:sz w:val="32"/>
          <w:szCs w:val="32"/>
          <w:highlight w:val="none"/>
          <w:lang w:val="en-US" w:eastAsia="zh-CN" w:bidi="ar-SA"/>
        </w:rPr>
        <w:t>》，工程施工单位应当编制建筑垃圾处理方案，采取污染防治措施，并在开工前报工程所在地的建筑垃圾主管部门备案。</w:t>
      </w:r>
    </w:p>
    <w:p w14:paraId="23AC3BB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从事建筑垃圾运输的单位应当向注册所在地的建筑垃圾主管部门申请核发《清远市建筑垃圾处置证（运输）》。</w:t>
      </w:r>
    </w:p>
    <w:p w14:paraId="620CB38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kern w:val="2"/>
          <w:sz w:val="32"/>
          <w:szCs w:val="32"/>
          <w:highlight w:val="none"/>
          <w:lang w:val="en-US" w:eastAsia="zh-CN" w:bidi="ar-SA"/>
        </w:rPr>
      </w:pPr>
      <w:r>
        <w:rPr>
          <w:rFonts w:hint="eastAsia" w:ascii="仿宋" w:hAnsi="仿宋" w:eastAsia="仿宋" w:cs="仿宋"/>
          <w:color w:val="auto"/>
          <w:spacing w:val="0"/>
          <w:kern w:val="2"/>
          <w:sz w:val="32"/>
          <w:szCs w:val="32"/>
          <w:highlight w:val="none"/>
          <w:lang w:val="en-US" w:eastAsia="zh-CN" w:bidi="ar-SA"/>
        </w:rPr>
        <w:t>设立建筑垃圾综合利用场所（包括资源化利用项目、回填工地等）、消纳场的单位应当向场所所在地的建筑垃圾主管部门申请核发《</w:t>
      </w:r>
      <w:r>
        <w:rPr>
          <w:rFonts w:hint="eastAsia" w:ascii="仿宋" w:hAnsi="仿宋" w:cs="仿宋"/>
          <w:color w:val="auto"/>
          <w:spacing w:val="0"/>
          <w:kern w:val="2"/>
          <w:sz w:val="32"/>
          <w:szCs w:val="32"/>
          <w:highlight w:val="none"/>
          <w:lang w:val="en-US" w:eastAsia="zh-CN" w:bidi="ar-SA"/>
        </w:rPr>
        <w:t>城市建筑垃圾处置受纳证</w:t>
      </w:r>
      <w:r>
        <w:rPr>
          <w:rFonts w:hint="eastAsia" w:ascii="仿宋" w:hAnsi="仿宋" w:eastAsia="仿宋" w:cs="仿宋"/>
          <w:color w:val="auto"/>
          <w:spacing w:val="0"/>
          <w:kern w:val="2"/>
          <w:sz w:val="32"/>
          <w:szCs w:val="32"/>
          <w:highlight w:val="none"/>
          <w:lang w:val="en-US" w:eastAsia="zh-CN" w:bidi="ar-SA"/>
        </w:rPr>
        <w:t>》。</w:t>
      </w:r>
    </w:p>
    <w:p w14:paraId="70D17ECB">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79" w:name="_Toc17549"/>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全过程联单管理机制</w:t>
      </w:r>
      <w:bookmarkEnd w:id="79"/>
    </w:p>
    <w:p w14:paraId="4BE50AB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按照《广东省建筑垃圾转移联单管理办法》要求，建立建筑垃圾产生、收集、贮存、运输、利用、处置全过程联单管理制度。</w:t>
      </w:r>
      <w:r>
        <w:rPr>
          <w:rFonts w:hint="eastAsia" w:ascii="仿宋" w:hAnsi="仿宋" w:eastAsia="仿宋" w:cs="仿宋"/>
          <w:color w:val="auto"/>
          <w:sz w:val="32"/>
          <w:szCs w:val="32"/>
          <w:highlight w:val="none"/>
          <w:lang w:val="en-US" w:eastAsia="zh-CN"/>
        </w:rPr>
        <w:t>推进本地建筑垃圾处置信息化管理，将排放工地、运输企业、转运设施、综合利用场所、消纳场等纳入</w:t>
      </w:r>
      <w:r>
        <w:rPr>
          <w:rFonts w:hint="eastAsia" w:ascii="仿宋" w:hAnsi="仿宋" w:eastAsia="仿宋" w:cs="仿宋"/>
          <w:color w:val="auto"/>
          <w:spacing w:val="0"/>
          <w:sz w:val="32"/>
          <w:szCs w:val="32"/>
          <w:highlight w:val="none"/>
          <w:lang w:val="en-US" w:eastAsia="zh-CN"/>
        </w:rPr>
        <w:t>清远市建筑垃圾智慧综合管理系统</w:t>
      </w:r>
      <w:r>
        <w:rPr>
          <w:rFonts w:hint="eastAsia" w:ascii="仿宋" w:hAnsi="仿宋" w:eastAsia="仿宋" w:cs="仿宋"/>
          <w:color w:val="auto"/>
          <w:sz w:val="32"/>
          <w:szCs w:val="32"/>
          <w:highlight w:val="none"/>
          <w:lang w:val="en-US" w:eastAsia="zh-CN"/>
        </w:rPr>
        <w:t>监管，实现全过程闭环管理</w:t>
      </w:r>
      <w:r>
        <w:rPr>
          <w:rFonts w:hint="eastAsia" w:ascii="仿宋" w:hAnsi="仿宋" w:eastAsia="仿宋" w:cs="仿宋"/>
          <w:color w:val="auto"/>
          <w:spacing w:val="0"/>
          <w:sz w:val="32"/>
          <w:szCs w:val="32"/>
          <w:highlight w:val="none"/>
          <w:lang w:val="en-US" w:eastAsia="zh-CN"/>
        </w:rPr>
        <w:t>。</w:t>
      </w:r>
    </w:p>
    <w:p w14:paraId="4E2E606F">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80" w:name="_Toc23178"/>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跨区域平衡处置和生态补偿机制</w:t>
      </w:r>
      <w:bookmarkEnd w:id="80"/>
    </w:p>
    <w:p w14:paraId="6F6C7F59">
      <w:pPr>
        <w:keepNext w:val="0"/>
        <w:keepLines w:val="0"/>
        <w:pageBreakBefore w:val="0"/>
        <w:widowControl/>
        <w:kinsoku/>
        <w:wordWrap/>
        <w:overflowPunct/>
        <w:topLinePunct w:val="0"/>
        <w:autoSpaceDE/>
        <w:autoSpaceDN/>
        <w:bidi w:val="0"/>
        <w:adjustRightInd/>
        <w:snapToGrid/>
        <w:spacing w:line="600" w:lineRule="exact"/>
        <w:ind w:firstLine="632" w:firstLineChars="200"/>
        <w:textAlignment w:val="auto"/>
        <w:rPr>
          <w:rFonts w:hint="eastAsia" w:ascii="仿宋" w:hAnsi="仿宋" w:eastAsia="仿宋" w:cs="仿宋"/>
          <w:color w:val="auto"/>
          <w:spacing w:val="-2"/>
          <w:sz w:val="32"/>
          <w:szCs w:val="32"/>
          <w:highlight w:val="none"/>
          <w:lang w:val="en-US" w:eastAsia="zh-CN"/>
        </w:rPr>
      </w:pPr>
      <w:r>
        <w:rPr>
          <w:rFonts w:hint="eastAsia" w:ascii="仿宋" w:hAnsi="仿宋" w:cs="仿宋"/>
          <w:color w:val="auto"/>
          <w:spacing w:val="-2"/>
          <w:sz w:val="32"/>
          <w:szCs w:val="32"/>
          <w:highlight w:val="none"/>
          <w:lang w:val="en-US" w:eastAsia="zh-CN"/>
        </w:rPr>
        <w:t>区建筑垃圾</w:t>
      </w:r>
      <w:r>
        <w:rPr>
          <w:rFonts w:hint="eastAsia" w:ascii="仿宋" w:hAnsi="仿宋" w:cs="仿宋"/>
          <w:color w:val="auto"/>
          <w:spacing w:val="-2"/>
          <w:sz w:val="32"/>
          <w:szCs w:val="32"/>
          <w:highlight w:val="none"/>
          <w:u w:val="none"/>
          <w:lang w:val="en-US" w:eastAsia="zh-CN"/>
        </w:rPr>
        <w:t>主管部门配合</w:t>
      </w:r>
      <w:r>
        <w:rPr>
          <w:rFonts w:hint="eastAsia" w:ascii="仿宋" w:hAnsi="仿宋" w:eastAsia="仿宋" w:cs="仿宋"/>
          <w:color w:val="auto"/>
          <w:spacing w:val="-2"/>
          <w:sz w:val="32"/>
          <w:szCs w:val="32"/>
          <w:highlight w:val="none"/>
          <w:lang w:val="en-US" w:eastAsia="zh-CN"/>
        </w:rPr>
        <w:t>市级建筑垃圾主管部门实施区域内建筑垃圾跨区域平衡处置相关工作。</w:t>
      </w:r>
    </w:p>
    <w:p w14:paraId="6020988E">
      <w:pPr>
        <w:keepNext w:val="0"/>
        <w:keepLines w:val="0"/>
        <w:pageBreakBefore w:val="0"/>
        <w:widowControl/>
        <w:kinsoku/>
        <w:wordWrap/>
        <w:overflowPunct w:val="0"/>
        <w:topLinePunct w:val="0"/>
        <w:autoSpaceDE/>
        <w:autoSpaceDN/>
        <w:bidi w:val="0"/>
        <w:adjustRightInd/>
        <w:snapToGrid/>
        <w:spacing w:line="600" w:lineRule="exact"/>
        <w:ind w:firstLine="632" w:firstLineChars="200"/>
        <w:jc w:val="both"/>
        <w:textAlignment w:val="auto"/>
        <w:rPr>
          <w:rFonts w:hint="eastAsia"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highlight w:val="none"/>
          <w:lang w:val="en-US" w:eastAsia="zh-CN"/>
        </w:rPr>
        <w:t>按照“受益者付费、损害者赔偿”的原则，建立建筑垃圾跨区域处置生态补偿机制，实行生态补偿机制，尤其是对建筑垃圾消纳场所所在镇街进行生态补偿。</w:t>
      </w:r>
    </w:p>
    <w:p w14:paraId="20D19EA9">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81" w:name="_Toc7420"/>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政府扶持机制</w:t>
      </w:r>
      <w:bookmarkEnd w:id="81"/>
    </w:p>
    <w:p w14:paraId="26D592A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建议政府扶持主要分为3个方面，具体为：</w:t>
      </w:r>
    </w:p>
    <w:p w14:paraId="04C97F3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1.通过强化联合执法监管等措施，严厉打击建筑垃圾违规倾倒、违规处置等现象，保障建筑垃圾资源化利用项目的建筑垃圾来料。</w:t>
      </w:r>
    </w:p>
    <w:p w14:paraId="339EF7D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2.税务部门按照国家有关规定落实企业所得税和增值税的减免优惠政策。</w:t>
      </w:r>
    </w:p>
    <w:p w14:paraId="2E53E8F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3.落实建筑垃圾再生利用产品优先政策，在城市道路、公园、广场等市政工程，以及其他非承重结构工程建设中，优先使用建筑垃圾再生产品。</w:t>
      </w:r>
    </w:p>
    <w:p w14:paraId="6D57118F">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82" w:name="_Toc6683"/>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源头责任机制</w:t>
      </w:r>
      <w:bookmarkEnd w:id="82"/>
    </w:p>
    <w:p w14:paraId="5DC8307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明确规定建设单位为工地建筑垃圾管理处置主要责任人，关于超限超载等责任人依据《广东省道路货物运输超限超载治理办法》进行规定，对不执行相关规定的工地由交通部门依法追究建设单位责任。施工单位要切实履行市容环卫责任，建立健全车辆装载配载安全管理制度，按照规定装载配载货物，落实施工工地保洁措施。工程完工后应及时清理现场，平整场地和修复破损路面，保证建筑工地出入口及工地周边环境整洁。工地要安装视频监控设备，并接入建筑垃圾主管部门监控系统。建筑垃圾主管部门依托信息管理系统，对施工工地实时监管。</w:t>
      </w:r>
    </w:p>
    <w:p w14:paraId="6428CCA6">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83" w:name="_Toc8268"/>
      <w:r>
        <w:rPr>
          <w:rFonts w:hint="eastAsia" w:ascii="仿宋" w:hAnsi="仿宋" w:eastAsia="方正楷体_GB2312" w:cs="仿宋"/>
          <w:b/>
          <w:bCs w:val="0"/>
          <w:color w:val="auto"/>
          <w:spacing w:val="0"/>
          <w:kern w:val="2"/>
          <w:sz w:val="32"/>
          <w:szCs w:val="32"/>
          <w:lang w:val="en-US" w:eastAsia="zh-CN" w:bidi="ar-SA"/>
        </w:rPr>
        <w:t>（六）</w:t>
      </w:r>
      <w:r>
        <w:rPr>
          <w:rFonts w:hint="eastAsia" w:ascii="仿宋" w:hAnsi="仿宋" w:eastAsia="仿宋" w:cs="仿宋"/>
          <w:b/>
          <w:bCs w:val="0"/>
          <w:color w:val="auto"/>
          <w:spacing w:val="0"/>
          <w:kern w:val="2"/>
          <w:sz w:val="32"/>
          <w:szCs w:val="32"/>
          <w:highlight w:val="none"/>
          <w:lang w:val="en-US" w:eastAsia="zh-CN" w:bidi="ar-SA"/>
        </w:rPr>
        <w:t>联合执法机制</w:t>
      </w:r>
      <w:bookmarkEnd w:id="83"/>
    </w:p>
    <w:p w14:paraId="4627A43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各相关部门要按照各自职能，对建筑垃圾产生源头、运输过程、消纳及资源化利用等各个环节落实严密措施，实施严格监管。加强建筑垃圾污染环境防治工作，并建立联席会议制度，建立由地方政府领导负责、多部门组成的联动机制。加强工作衔接，互通管理信息，强化日常管理，做到各司其职，协同共管。</w:t>
      </w:r>
    </w:p>
    <w:p w14:paraId="3D854842">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84" w:name="_Toc29759"/>
      <w:r>
        <w:rPr>
          <w:rFonts w:hint="eastAsia" w:ascii="仿宋" w:hAnsi="仿宋" w:eastAsia="方正楷体_GB2312" w:cs="仿宋"/>
          <w:b/>
          <w:bCs w:val="0"/>
          <w:color w:val="auto"/>
          <w:spacing w:val="0"/>
          <w:kern w:val="2"/>
          <w:sz w:val="32"/>
          <w:szCs w:val="32"/>
          <w:lang w:val="en-US" w:eastAsia="zh-CN" w:bidi="ar-SA"/>
        </w:rPr>
        <w:t>（七）</w:t>
      </w:r>
      <w:r>
        <w:rPr>
          <w:rFonts w:hint="eastAsia" w:ascii="仿宋" w:hAnsi="仿宋" w:eastAsia="仿宋" w:cs="仿宋"/>
          <w:b/>
          <w:bCs w:val="0"/>
          <w:color w:val="auto"/>
          <w:spacing w:val="0"/>
          <w:kern w:val="2"/>
          <w:sz w:val="32"/>
          <w:szCs w:val="32"/>
          <w:highlight w:val="none"/>
          <w:lang w:val="en-US" w:eastAsia="zh-CN" w:bidi="ar-SA"/>
        </w:rPr>
        <w:t>投诉举报机制</w:t>
      </w:r>
      <w:bookmarkEnd w:id="84"/>
    </w:p>
    <w:p w14:paraId="12645C3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进一步完善相关制度建设，设立专门的投诉举报窗口或平台，鼓励群众对建筑垃圾偷倒乱倒、未密闭运输、超限超载运输等违法违规行为进行监督，并对社会公众投诉举报的违法违规行为依法进行审查处理。违法违规行为一经查实，可依法采取批评教育、</w:t>
      </w:r>
      <w:r>
        <w:rPr>
          <w:rFonts w:hint="eastAsia" w:ascii="仿宋" w:hAnsi="仿宋" w:cs="仿宋"/>
          <w:color w:val="auto"/>
          <w:spacing w:val="0"/>
          <w:sz w:val="32"/>
          <w:szCs w:val="32"/>
          <w:highlight w:val="none"/>
          <w:lang w:val="en-US" w:eastAsia="zh-CN"/>
        </w:rPr>
        <w:t>给与行政处罚</w:t>
      </w:r>
      <w:r>
        <w:rPr>
          <w:rFonts w:hint="eastAsia" w:ascii="仿宋" w:hAnsi="仿宋" w:eastAsia="仿宋" w:cs="仿宋"/>
          <w:color w:val="auto"/>
          <w:spacing w:val="0"/>
          <w:sz w:val="32"/>
          <w:szCs w:val="32"/>
          <w:highlight w:val="none"/>
          <w:lang w:val="en-US" w:eastAsia="zh-CN"/>
        </w:rPr>
        <w:t>等措施，对情节严重且屡教不改的，可将责任单位名称、联系电话、责任人等信息，通过公众媒体向社会公布，视情况对提供有效举报信息的群众给予奖励。</w:t>
      </w:r>
    </w:p>
    <w:p w14:paraId="539A7CB1">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85" w:name="_Toc26435"/>
      <w:r>
        <w:rPr>
          <w:rFonts w:hint="eastAsia" w:ascii="仿宋" w:hAnsi="仿宋" w:eastAsia="方正楷体_GB2312" w:cs="仿宋"/>
          <w:b/>
          <w:bCs w:val="0"/>
          <w:color w:val="auto"/>
          <w:spacing w:val="0"/>
          <w:kern w:val="2"/>
          <w:sz w:val="32"/>
          <w:szCs w:val="32"/>
          <w:lang w:val="en-US" w:eastAsia="zh-CN" w:bidi="ar-SA"/>
        </w:rPr>
        <w:t>（八）</w:t>
      </w:r>
      <w:r>
        <w:rPr>
          <w:rFonts w:hint="eastAsia" w:ascii="仿宋" w:hAnsi="仿宋" w:eastAsia="仿宋" w:cs="仿宋"/>
          <w:b/>
          <w:bCs w:val="0"/>
          <w:color w:val="auto"/>
          <w:spacing w:val="0"/>
          <w:kern w:val="2"/>
          <w:sz w:val="32"/>
          <w:szCs w:val="32"/>
          <w:highlight w:val="none"/>
          <w:lang w:val="en-US" w:eastAsia="zh-CN" w:bidi="ar-SA"/>
        </w:rPr>
        <w:t>探索付费机制</w:t>
      </w:r>
      <w:bookmarkEnd w:id="85"/>
    </w:p>
    <w:p w14:paraId="1A217843">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按照“谁产生、谁污染、谁负责”的原则，产生建筑垃圾的单位和个人具有规范清运和处置的主体责任，需缴纳相关清运处置费。在现有基础上，逐步建立健全污染者付费制度，制定相关指导意见，如建筑、拆迁工程按照建筑面积或产量收取清运费和处置费，居民装修按照重量或收运次数收取费用等。</w:t>
      </w:r>
    </w:p>
    <w:p w14:paraId="53AAA57F">
      <w:pPr>
        <w:rPr>
          <w:rFonts w:hint="eastAsia" w:ascii="仿宋" w:hAnsi="仿宋" w:eastAsia="仿宋" w:cs="仿宋"/>
          <w:color w:val="auto"/>
          <w:spacing w:val="0"/>
          <w:highlight w:val="none"/>
          <w:lang w:eastAsia="zh-CN"/>
        </w:rPr>
      </w:pPr>
      <w:r>
        <w:rPr>
          <w:rFonts w:hint="eastAsia" w:ascii="仿宋" w:hAnsi="仿宋" w:eastAsia="仿宋" w:cs="仿宋"/>
          <w:color w:val="auto"/>
          <w:spacing w:val="0"/>
          <w:highlight w:val="none"/>
          <w:lang w:eastAsia="zh-CN"/>
        </w:rPr>
        <w:br w:type="page"/>
      </w:r>
    </w:p>
    <w:p w14:paraId="46F79806">
      <w:pPr>
        <w:keepNext/>
        <w:keepLines/>
        <w:pageBreakBefore/>
        <w:numPr>
          <w:ilvl w:val="0"/>
          <w:numId w:val="0"/>
        </w:numPr>
        <w:tabs>
          <w:tab w:val="left" w:pos="0"/>
        </w:tabs>
        <w:bidi w:val="0"/>
        <w:spacing w:line="600" w:lineRule="exact"/>
        <w:ind w:left="420" w:leftChars="0" w:firstLine="220" w:firstLineChars="0"/>
        <w:jc w:val="left"/>
        <w:outlineLvl w:val="0"/>
        <w:rPr>
          <w:rFonts w:hint="eastAsia" w:ascii="仿宋" w:hAnsi="仿宋" w:eastAsia="仿宋" w:cs="仿宋"/>
          <w:b/>
          <w:bCs/>
          <w:color w:val="auto"/>
          <w:spacing w:val="0"/>
          <w:kern w:val="0"/>
          <w:sz w:val="32"/>
          <w:szCs w:val="84"/>
          <w:highlight w:val="none"/>
          <w:lang w:val="en-US" w:eastAsia="zh-CN" w:bidi="ar-SA"/>
        </w:rPr>
      </w:pPr>
      <w:bookmarkStart w:id="86" w:name="_Toc6732"/>
      <w:r>
        <w:rPr>
          <w:rFonts w:hint="eastAsia" w:ascii="仿宋" w:hAnsi="仿宋" w:eastAsia="黑体" w:cs="仿宋"/>
          <w:b/>
          <w:bCs/>
          <w:color w:val="auto"/>
          <w:spacing w:val="0"/>
          <w:kern w:val="0"/>
          <w:sz w:val="32"/>
          <w:szCs w:val="32"/>
          <w:lang w:val="en-US" w:eastAsia="zh-CN" w:bidi="ar-SA"/>
        </w:rPr>
        <w:t>十一、</w:t>
      </w:r>
      <w:r>
        <w:rPr>
          <w:rFonts w:hint="eastAsia" w:ascii="仿宋" w:hAnsi="仿宋" w:eastAsia="仿宋" w:cs="仿宋"/>
          <w:b/>
          <w:bCs/>
          <w:color w:val="auto"/>
          <w:spacing w:val="0"/>
          <w:kern w:val="0"/>
          <w:sz w:val="32"/>
          <w:szCs w:val="32"/>
          <w:highlight w:val="none"/>
          <w:lang w:val="en-US" w:eastAsia="zh-CN" w:bidi="ar-SA"/>
        </w:rPr>
        <w:t>实施计划</w:t>
      </w:r>
      <w:bookmarkEnd w:id="86"/>
    </w:p>
    <w:p w14:paraId="17DDF7DF">
      <w:pPr>
        <w:keepNext/>
        <w:keepLines/>
        <w:pageBreakBefore w:val="0"/>
        <w:widowControl/>
        <w:numPr>
          <w:ilvl w:val="1"/>
          <w:numId w:val="0"/>
        </w:numPr>
        <w:kinsoku/>
        <w:wordWrap/>
        <w:overflowPunct/>
        <w:topLinePunct w:val="0"/>
        <w:autoSpaceDE/>
        <w:autoSpaceDN/>
        <w:bidi w:val="0"/>
        <w:adjustRightInd/>
        <w:snapToGrid/>
        <w:spacing w:line="600" w:lineRule="exact"/>
        <w:ind w:left="0" w:leftChars="0" w:firstLine="640" w:firstLineChars="0"/>
        <w:textAlignment w:val="auto"/>
        <w:outlineLvl w:val="1"/>
        <w:rPr>
          <w:rFonts w:hint="eastAsia" w:ascii="仿宋" w:hAnsi="仿宋" w:eastAsia="仿宋" w:cs="仿宋"/>
          <w:b/>
          <w:bCs w:val="0"/>
          <w:color w:val="auto"/>
          <w:spacing w:val="0"/>
          <w:kern w:val="2"/>
          <w:sz w:val="32"/>
          <w:szCs w:val="32"/>
          <w:highlight w:val="none"/>
          <w:lang w:val="en-US" w:eastAsia="zh-CN" w:bidi="ar-SA"/>
        </w:rPr>
      </w:pPr>
      <w:bookmarkStart w:id="87" w:name="_Toc30530"/>
      <w:bookmarkStart w:id="88" w:name="_Toc4836"/>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建筑垃圾处理设施分类</w:t>
      </w:r>
      <w:bookmarkEnd w:id="87"/>
      <w:bookmarkEnd w:id="88"/>
    </w:p>
    <w:p w14:paraId="3AB035A5">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筑垃圾处理设施分为建筑垃圾中转站、建筑垃圾消纳场（含临时）、建筑垃圾资源化利用场所和建筑垃圾收纳点四种，本项目“清远市清城区建筑垃圾污染环境防治工作规划（2024-2030年）”负责对清城区范围内区级管辖的“建筑垃圾处理设施”进行规划建设，市级管辖的“建筑垃圾处理设施”不在本次规划范围内。</w:t>
      </w:r>
    </w:p>
    <w:p w14:paraId="24C5F603">
      <w:pPr>
        <w:keepNext/>
        <w:keepLines/>
        <w:pageBreakBefore w:val="0"/>
        <w:widowControl/>
        <w:numPr>
          <w:ilvl w:val="1"/>
          <w:numId w:val="0"/>
        </w:numPr>
        <w:kinsoku/>
        <w:wordWrap/>
        <w:overflowPunct/>
        <w:topLinePunct w:val="0"/>
        <w:autoSpaceDE/>
        <w:autoSpaceDN/>
        <w:bidi w:val="0"/>
        <w:adjustRightInd/>
        <w:snapToGrid/>
        <w:spacing w:line="600" w:lineRule="exact"/>
        <w:ind w:left="0" w:leftChars="0" w:firstLine="640" w:firstLineChars="0"/>
        <w:textAlignment w:val="auto"/>
        <w:outlineLvl w:val="1"/>
        <w:rPr>
          <w:rFonts w:hint="eastAsia" w:ascii="仿宋" w:hAnsi="仿宋" w:eastAsia="仿宋" w:cs="仿宋"/>
          <w:b/>
          <w:bCs w:val="0"/>
          <w:color w:val="auto"/>
          <w:spacing w:val="0"/>
          <w:kern w:val="2"/>
          <w:sz w:val="32"/>
          <w:szCs w:val="32"/>
          <w:highlight w:val="none"/>
          <w:lang w:val="en-US" w:eastAsia="zh-CN" w:bidi="ar-SA"/>
        </w:rPr>
      </w:pPr>
      <w:bookmarkStart w:id="89" w:name="_Toc4660"/>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实施计划</w:t>
      </w:r>
      <w:bookmarkEnd w:id="89"/>
    </w:p>
    <w:p w14:paraId="3AB3308C">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规划至2026年，清城区建设3处临时建筑垃圾消纳场、3处建筑垃圾中转站、</w:t>
      </w:r>
      <w:r>
        <w:rPr>
          <w:rFonts w:hint="eastAsia" w:ascii="仿宋" w:hAnsi="仿宋" w:cs="仿宋"/>
          <w:color w:val="auto"/>
          <w:spacing w:val="0"/>
          <w:sz w:val="32"/>
          <w:szCs w:val="32"/>
          <w:highlight w:val="none"/>
          <w:lang w:val="en-US" w:eastAsia="zh-CN"/>
        </w:rPr>
        <w:t>多</w:t>
      </w:r>
      <w:r>
        <w:rPr>
          <w:rFonts w:hint="eastAsia" w:ascii="仿宋" w:hAnsi="仿宋" w:eastAsia="仿宋" w:cs="仿宋"/>
          <w:color w:val="auto"/>
          <w:spacing w:val="0"/>
          <w:sz w:val="32"/>
          <w:szCs w:val="32"/>
          <w:highlight w:val="none"/>
          <w:lang w:val="en-US" w:eastAsia="zh-CN"/>
        </w:rPr>
        <w:t>处建筑垃圾收纳点</w:t>
      </w:r>
      <w:r>
        <w:rPr>
          <w:rFonts w:hint="eastAsia" w:ascii="仿宋" w:hAnsi="仿宋" w:cs="仿宋"/>
          <w:color w:val="auto"/>
          <w:spacing w:val="0"/>
          <w:sz w:val="32"/>
          <w:szCs w:val="32"/>
          <w:highlight w:val="none"/>
          <w:lang w:val="en-US" w:eastAsia="zh-CN"/>
        </w:rPr>
        <w:t>（未来将在地下停车场、社区门口等位置放置建筑垃圾收纳箱）</w:t>
      </w:r>
      <w:r>
        <w:rPr>
          <w:rFonts w:hint="eastAsia" w:ascii="仿宋" w:hAnsi="仿宋" w:eastAsia="仿宋" w:cs="仿宋"/>
          <w:color w:val="auto"/>
          <w:spacing w:val="0"/>
          <w:sz w:val="32"/>
          <w:szCs w:val="32"/>
          <w:highlight w:val="none"/>
          <w:lang w:val="en-US" w:eastAsia="zh-CN"/>
        </w:rPr>
        <w:t>；规划至2026年，建筑垃圾资源化利用率达</w:t>
      </w:r>
      <w:r>
        <w:rPr>
          <w:rFonts w:hint="eastAsia" w:ascii="仿宋" w:hAnsi="仿宋" w:cs="仿宋"/>
          <w:color w:val="auto"/>
          <w:spacing w:val="0"/>
          <w:sz w:val="32"/>
          <w:szCs w:val="32"/>
          <w:highlight w:val="none"/>
          <w:lang w:val="en-US" w:eastAsia="zh-CN"/>
        </w:rPr>
        <w:t>60</w:t>
      </w:r>
      <w:r>
        <w:rPr>
          <w:rFonts w:hint="eastAsia" w:ascii="仿宋" w:hAnsi="仿宋" w:eastAsia="仿宋" w:cs="仿宋"/>
          <w:color w:val="auto"/>
          <w:spacing w:val="0"/>
          <w:sz w:val="32"/>
          <w:szCs w:val="32"/>
          <w:highlight w:val="none"/>
          <w:lang w:val="en-US" w:eastAsia="zh-CN"/>
        </w:rPr>
        <w:t>%以上，综合利用率达65%以上，安全处置率100%；远期规划至2030年，建筑垃圾资源化利用率达</w:t>
      </w:r>
      <w:r>
        <w:rPr>
          <w:rFonts w:hint="eastAsia" w:ascii="仿宋" w:hAnsi="仿宋" w:cs="仿宋"/>
          <w:color w:val="auto"/>
          <w:spacing w:val="0"/>
          <w:sz w:val="32"/>
          <w:szCs w:val="32"/>
          <w:highlight w:val="none"/>
          <w:lang w:val="en-US" w:eastAsia="zh-CN"/>
        </w:rPr>
        <w:t>8</w:t>
      </w:r>
      <w:r>
        <w:rPr>
          <w:rFonts w:hint="eastAsia" w:ascii="仿宋" w:hAnsi="仿宋" w:eastAsia="仿宋" w:cs="仿宋"/>
          <w:color w:val="auto"/>
          <w:spacing w:val="0"/>
          <w:sz w:val="32"/>
          <w:szCs w:val="32"/>
          <w:highlight w:val="none"/>
          <w:lang w:val="en-US" w:eastAsia="zh-CN"/>
        </w:rPr>
        <w:t>0%以上，综合利用率达90%以上，安全处置率100%。</w:t>
      </w:r>
    </w:p>
    <w:p w14:paraId="30B39849">
      <w:pPr>
        <w:keepNext/>
        <w:keepLines/>
        <w:pageBreakBefore w:val="0"/>
        <w:widowControl/>
        <w:numPr>
          <w:ilvl w:val="1"/>
          <w:numId w:val="0"/>
        </w:numPr>
        <w:kinsoku/>
        <w:wordWrap/>
        <w:overflowPunct/>
        <w:topLinePunct w:val="0"/>
        <w:autoSpaceDE/>
        <w:autoSpaceDN/>
        <w:bidi w:val="0"/>
        <w:adjustRightInd/>
        <w:snapToGrid/>
        <w:spacing w:line="600" w:lineRule="exact"/>
        <w:ind w:left="0" w:leftChars="0" w:firstLine="640" w:firstLineChars="0"/>
        <w:textAlignment w:val="auto"/>
        <w:outlineLvl w:val="1"/>
        <w:rPr>
          <w:rFonts w:hint="eastAsia" w:ascii="仿宋" w:hAnsi="仿宋" w:eastAsia="仿宋" w:cs="仿宋"/>
          <w:b/>
          <w:bCs w:val="0"/>
          <w:color w:val="auto"/>
          <w:spacing w:val="0"/>
          <w:kern w:val="2"/>
          <w:sz w:val="32"/>
          <w:szCs w:val="32"/>
          <w:highlight w:val="none"/>
          <w:lang w:val="en-US" w:eastAsia="zh-CN" w:bidi="ar-SA"/>
        </w:rPr>
      </w:pPr>
      <w:bookmarkStart w:id="90" w:name="_Toc8589"/>
      <w:bookmarkStart w:id="91" w:name="_Toc15973"/>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工程建设</w:t>
      </w:r>
      <w:bookmarkEnd w:id="90"/>
      <w:bookmarkEnd w:id="91"/>
    </w:p>
    <w:p w14:paraId="4FF2F658">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东城街道临时建筑垃圾消纳场</w:t>
      </w:r>
      <w:r>
        <w:rPr>
          <w:rFonts w:hint="eastAsia" w:ascii="仿宋" w:hAnsi="仿宋" w:eastAsia="仿宋" w:cs="仿宋"/>
          <w:color w:val="auto"/>
          <w:spacing w:val="0"/>
          <w:sz w:val="32"/>
          <w:szCs w:val="32"/>
          <w:highlight w:val="none"/>
          <w:lang w:val="en-US" w:eastAsia="zh-CN"/>
        </w:rPr>
        <w:t>选址位于广东省清远市清城区清城区东城街附城大道南侧地块</w:t>
      </w:r>
      <w:r>
        <w:rPr>
          <w:rFonts w:hint="eastAsia" w:ascii="仿宋" w:hAnsi="仿宋" w:cs="仿宋"/>
          <w:color w:val="auto"/>
          <w:spacing w:val="0"/>
          <w:sz w:val="32"/>
          <w:szCs w:val="32"/>
          <w:highlight w:val="none"/>
          <w:lang w:val="en-US" w:eastAsia="zh-CN"/>
        </w:rPr>
        <w:t>，</w:t>
      </w:r>
      <w:r>
        <w:rPr>
          <w:rFonts w:hint="eastAsia" w:ascii="仿宋" w:hAnsi="仿宋" w:eastAsia="仿宋" w:cs="仿宋"/>
          <w:color w:val="auto"/>
          <w:spacing w:val="0"/>
          <w:sz w:val="32"/>
          <w:szCs w:val="32"/>
          <w:highlight w:val="none"/>
          <w:lang w:val="en-US" w:eastAsia="zh-CN"/>
        </w:rPr>
        <w:t>建设临时消纳场，占地面积16344.99</w:t>
      </w:r>
      <w:r>
        <w:rPr>
          <w:rFonts w:hint="eastAsia" w:ascii="仿宋" w:hAnsi="仿宋" w:cs="仿宋"/>
          <w:color w:val="auto"/>
          <w:spacing w:val="0"/>
          <w:sz w:val="32"/>
          <w:szCs w:val="32"/>
          <w:highlight w:val="none"/>
          <w:lang w:val="en-US" w:eastAsia="zh-CN"/>
        </w:rPr>
        <w:t>平方米</w:t>
      </w:r>
      <w:r>
        <w:rPr>
          <w:rFonts w:hint="eastAsia" w:ascii="仿宋" w:hAnsi="仿宋" w:eastAsia="仿宋" w:cs="仿宋"/>
          <w:color w:val="auto"/>
          <w:spacing w:val="0"/>
          <w:sz w:val="32"/>
          <w:szCs w:val="32"/>
          <w:highlight w:val="none"/>
          <w:lang w:val="en-US" w:eastAsia="zh-CN"/>
        </w:rPr>
        <w:t>，建筑垃圾年处理规模为35万吨/年。主要处理清远市东城、凤城片区周边的建筑垃圾，包括工程垃圾、拆除垃圾、装修垃圾等作为建筑垃圾分拣、破碎处置场所。2024年1</w:t>
      </w:r>
      <w:r>
        <w:rPr>
          <w:rFonts w:hint="eastAsia" w:ascii="仿宋" w:hAnsi="仿宋" w:cs="仿宋"/>
          <w:color w:val="auto"/>
          <w:spacing w:val="0"/>
          <w:sz w:val="32"/>
          <w:szCs w:val="32"/>
          <w:highlight w:val="none"/>
          <w:lang w:val="en-US" w:eastAsia="zh-CN"/>
        </w:rPr>
        <w:t>0</w:t>
      </w:r>
      <w:r>
        <w:rPr>
          <w:rFonts w:hint="eastAsia" w:ascii="仿宋" w:hAnsi="仿宋" w:eastAsia="仿宋" w:cs="仿宋"/>
          <w:color w:val="auto"/>
          <w:spacing w:val="0"/>
          <w:sz w:val="32"/>
          <w:szCs w:val="32"/>
          <w:highlight w:val="none"/>
          <w:lang w:val="en-US" w:eastAsia="zh-CN"/>
        </w:rPr>
        <w:t>月底正式投入使用</w:t>
      </w:r>
      <w:r>
        <w:rPr>
          <w:rFonts w:hint="eastAsia" w:ascii="仿宋" w:hAnsi="仿宋" w:cs="仿宋"/>
          <w:color w:val="auto"/>
          <w:spacing w:val="0"/>
          <w:sz w:val="32"/>
          <w:szCs w:val="32"/>
          <w:highlight w:val="none"/>
          <w:lang w:val="en-US" w:eastAsia="zh-CN"/>
        </w:rPr>
        <w:t>。</w:t>
      </w:r>
    </w:p>
    <w:p w14:paraId="3900F6E2">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石角镇临时建筑垃圾消纳场</w:t>
      </w:r>
      <w:r>
        <w:rPr>
          <w:rFonts w:hint="eastAsia" w:ascii="仿宋" w:hAnsi="仿宋" w:eastAsia="仿宋" w:cs="仿宋"/>
          <w:color w:val="auto"/>
          <w:spacing w:val="0"/>
          <w:sz w:val="32"/>
          <w:szCs w:val="32"/>
          <w:highlight w:val="none"/>
          <w:lang w:val="en-US" w:eastAsia="zh-CN"/>
        </w:rPr>
        <w:t>选址于广东省清远市清城区石角镇华雄大道西侧地块</w:t>
      </w:r>
      <w:r>
        <w:rPr>
          <w:rFonts w:hint="eastAsia" w:ascii="仿宋" w:hAnsi="仿宋" w:cs="仿宋"/>
          <w:color w:val="auto"/>
          <w:spacing w:val="0"/>
          <w:sz w:val="32"/>
          <w:szCs w:val="32"/>
          <w:highlight w:val="none"/>
          <w:lang w:val="en-US" w:eastAsia="zh-CN"/>
        </w:rPr>
        <w:t>，</w:t>
      </w:r>
      <w:r>
        <w:rPr>
          <w:rFonts w:hint="eastAsia" w:ascii="仿宋" w:hAnsi="仿宋" w:eastAsia="仿宋" w:cs="仿宋"/>
          <w:color w:val="auto"/>
          <w:spacing w:val="0"/>
          <w:sz w:val="32"/>
          <w:szCs w:val="32"/>
          <w:highlight w:val="none"/>
          <w:lang w:val="en-US" w:eastAsia="zh-CN"/>
        </w:rPr>
        <w:t>建设临时消纳场，占地面积12946.54</w:t>
      </w:r>
      <w:r>
        <w:rPr>
          <w:rFonts w:hint="eastAsia" w:ascii="仿宋" w:hAnsi="仿宋" w:cs="仿宋"/>
          <w:color w:val="auto"/>
          <w:spacing w:val="0"/>
          <w:sz w:val="32"/>
          <w:szCs w:val="32"/>
          <w:highlight w:val="none"/>
          <w:lang w:val="en-US" w:eastAsia="zh-CN"/>
        </w:rPr>
        <w:t>平方米</w:t>
      </w:r>
      <w:r>
        <w:rPr>
          <w:rFonts w:hint="eastAsia" w:ascii="仿宋" w:hAnsi="仿宋" w:eastAsia="仿宋" w:cs="仿宋"/>
          <w:color w:val="auto"/>
          <w:spacing w:val="0"/>
          <w:sz w:val="32"/>
          <w:szCs w:val="32"/>
          <w:highlight w:val="none"/>
          <w:lang w:val="en-US" w:eastAsia="zh-CN"/>
        </w:rPr>
        <w:t>，建筑垃圾年处理规模为3</w:t>
      </w:r>
      <w:r>
        <w:rPr>
          <w:rFonts w:hint="eastAsia" w:ascii="仿宋" w:hAnsi="仿宋" w:cs="仿宋"/>
          <w:color w:val="auto"/>
          <w:spacing w:val="0"/>
          <w:sz w:val="32"/>
          <w:szCs w:val="32"/>
          <w:highlight w:val="none"/>
          <w:lang w:val="en-US" w:eastAsia="zh-CN"/>
        </w:rPr>
        <w:t>0</w:t>
      </w:r>
      <w:r>
        <w:rPr>
          <w:rFonts w:hint="eastAsia" w:ascii="仿宋" w:hAnsi="仿宋" w:eastAsia="仿宋" w:cs="仿宋"/>
          <w:color w:val="auto"/>
          <w:spacing w:val="0"/>
          <w:sz w:val="32"/>
          <w:szCs w:val="32"/>
          <w:highlight w:val="none"/>
          <w:lang w:val="en-US" w:eastAsia="zh-CN"/>
        </w:rPr>
        <w:t>万吨/年。主要处理广清纺织园以及清远市石角镇周边的建筑垃圾，包括工程垃圾拆除垃圾等，作为建筑垃圾分拣处置场所以及砂石骨料破碎场所。2024年</w:t>
      </w:r>
      <w:r>
        <w:rPr>
          <w:rFonts w:hint="eastAsia" w:ascii="仿宋" w:hAnsi="仿宋" w:cs="仿宋"/>
          <w:color w:val="auto"/>
          <w:spacing w:val="0"/>
          <w:sz w:val="32"/>
          <w:szCs w:val="32"/>
          <w:highlight w:val="none"/>
          <w:lang w:val="en-US" w:eastAsia="zh-CN"/>
        </w:rPr>
        <w:t>9</w:t>
      </w:r>
      <w:r>
        <w:rPr>
          <w:rFonts w:hint="eastAsia" w:ascii="仿宋" w:hAnsi="仿宋" w:eastAsia="仿宋" w:cs="仿宋"/>
          <w:color w:val="auto"/>
          <w:spacing w:val="0"/>
          <w:sz w:val="32"/>
          <w:szCs w:val="32"/>
          <w:highlight w:val="none"/>
          <w:lang w:val="en-US" w:eastAsia="zh-CN"/>
        </w:rPr>
        <w:t>月底正式投入使用</w:t>
      </w:r>
      <w:r>
        <w:rPr>
          <w:rFonts w:hint="eastAsia" w:ascii="仿宋" w:hAnsi="仿宋" w:cs="仿宋"/>
          <w:color w:val="auto"/>
          <w:spacing w:val="0"/>
          <w:sz w:val="32"/>
          <w:szCs w:val="32"/>
          <w:highlight w:val="none"/>
          <w:lang w:val="en-US" w:eastAsia="zh-CN"/>
        </w:rPr>
        <w:t>。</w:t>
      </w:r>
    </w:p>
    <w:p w14:paraId="6B49E384">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洲心街道临时建筑垃圾消纳场</w:t>
      </w:r>
      <w:r>
        <w:rPr>
          <w:rFonts w:hint="eastAsia" w:ascii="仿宋" w:hAnsi="仿宋" w:eastAsia="仿宋" w:cs="仿宋"/>
          <w:color w:val="auto"/>
          <w:spacing w:val="0"/>
          <w:sz w:val="32"/>
          <w:szCs w:val="32"/>
          <w:highlight w:val="none"/>
          <w:lang w:val="en-US" w:eastAsia="zh-CN"/>
        </w:rPr>
        <w:t>选址位于广东省清远市清城区洲心街道环城东北路与清佛公路交界东北侧</w:t>
      </w:r>
      <w:r>
        <w:rPr>
          <w:rFonts w:hint="eastAsia" w:ascii="仿宋" w:hAnsi="仿宋" w:cs="仿宋"/>
          <w:color w:val="auto"/>
          <w:spacing w:val="0"/>
          <w:sz w:val="32"/>
          <w:szCs w:val="32"/>
          <w:highlight w:val="none"/>
          <w:lang w:val="en-US" w:eastAsia="zh-CN"/>
        </w:rPr>
        <w:t>，建设临时消纳场</w:t>
      </w:r>
      <w:r>
        <w:rPr>
          <w:rFonts w:hint="eastAsia" w:ascii="仿宋" w:hAnsi="仿宋" w:eastAsia="仿宋" w:cs="仿宋"/>
          <w:color w:val="auto"/>
          <w:spacing w:val="0"/>
          <w:sz w:val="32"/>
          <w:szCs w:val="32"/>
          <w:highlight w:val="none"/>
          <w:lang w:val="en-US" w:eastAsia="zh-CN"/>
        </w:rPr>
        <w:t>，占地面积</w:t>
      </w:r>
      <w:r>
        <w:rPr>
          <w:rFonts w:hint="eastAsia" w:ascii="仿宋" w:hAnsi="仿宋" w:cs="仿宋"/>
          <w:color w:val="auto"/>
          <w:spacing w:val="0"/>
          <w:sz w:val="32"/>
          <w:szCs w:val="32"/>
          <w:highlight w:val="none"/>
          <w:lang w:val="en-US" w:eastAsia="zh-CN"/>
        </w:rPr>
        <w:t>24000平方米</w:t>
      </w:r>
      <w:r>
        <w:rPr>
          <w:rFonts w:hint="eastAsia" w:ascii="仿宋" w:hAnsi="仿宋" w:eastAsia="仿宋" w:cs="仿宋"/>
          <w:color w:val="auto"/>
          <w:spacing w:val="0"/>
          <w:sz w:val="32"/>
          <w:szCs w:val="32"/>
          <w:highlight w:val="none"/>
          <w:lang w:val="en-US" w:eastAsia="zh-CN"/>
        </w:rPr>
        <w:t>，建筑垃圾年处理规模为</w:t>
      </w:r>
      <w:r>
        <w:rPr>
          <w:rFonts w:hint="eastAsia" w:ascii="仿宋" w:hAnsi="仿宋" w:cs="仿宋"/>
          <w:color w:val="auto"/>
          <w:spacing w:val="0"/>
          <w:sz w:val="32"/>
          <w:szCs w:val="32"/>
          <w:highlight w:val="none"/>
          <w:lang w:val="en-US" w:eastAsia="zh-CN"/>
        </w:rPr>
        <w:t>6</w:t>
      </w:r>
      <w:r>
        <w:rPr>
          <w:rFonts w:hint="eastAsia" w:ascii="仿宋" w:hAnsi="仿宋" w:eastAsia="仿宋" w:cs="仿宋"/>
          <w:color w:val="auto"/>
          <w:spacing w:val="0"/>
          <w:sz w:val="32"/>
          <w:szCs w:val="32"/>
          <w:highlight w:val="none"/>
          <w:lang w:val="en-US" w:eastAsia="zh-CN"/>
        </w:rPr>
        <w:t>0万吨/年。主要处理清远市洲心、横荷、源潭、飞来峡、龙塘片区周边的建筑垃圾，包括工程渣土、工程垃圾、拆除垃圾、装修垃圾等。作为建筑垃圾分拣处置场所，另可作为建筑垃圾资源化利用场所，通过对建筑垃圾处置，配套水稳料生产线、环保砖生产线、再生燃料生产线。2024年12月底正式投入使用</w:t>
      </w:r>
      <w:r>
        <w:rPr>
          <w:rFonts w:hint="eastAsia" w:ascii="仿宋" w:hAnsi="仿宋" w:cs="仿宋"/>
          <w:color w:val="auto"/>
          <w:spacing w:val="0"/>
          <w:sz w:val="32"/>
          <w:szCs w:val="32"/>
          <w:highlight w:val="none"/>
          <w:lang w:val="en-US" w:eastAsia="zh-CN"/>
        </w:rPr>
        <w:t>。</w:t>
      </w:r>
    </w:p>
    <w:p w14:paraId="678897D1">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龙塘镇建筑垃圾中转站</w:t>
      </w:r>
      <w:r>
        <w:rPr>
          <w:rFonts w:hint="eastAsia" w:ascii="仿宋" w:hAnsi="仿宋" w:eastAsia="仿宋" w:cs="仿宋"/>
          <w:color w:val="auto"/>
          <w:spacing w:val="0"/>
          <w:sz w:val="32"/>
          <w:szCs w:val="32"/>
          <w:highlight w:val="none"/>
          <w:lang w:val="en-US" w:eastAsia="zh-CN"/>
        </w:rPr>
        <w:t>选址位于广东省清远市清城区龙塘镇陂坑万水河边厂房</w:t>
      </w:r>
      <w:r>
        <w:rPr>
          <w:rFonts w:hint="eastAsia" w:ascii="仿宋" w:hAnsi="仿宋" w:cs="仿宋"/>
          <w:color w:val="auto"/>
          <w:spacing w:val="0"/>
          <w:sz w:val="32"/>
          <w:szCs w:val="32"/>
          <w:highlight w:val="none"/>
          <w:lang w:val="en-US" w:eastAsia="zh-CN"/>
        </w:rPr>
        <w:t>，处理规模为0.6万m³，主要收集清远市龙塘镇周边的建筑垃圾，包括工程垃圾、拆除垃圾、装修垃圾等运至其他临时消纳场，作临时堆放及中转处理。2024年12月底正式投入使用。</w:t>
      </w:r>
    </w:p>
    <w:p w14:paraId="5C981876">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源潭镇建筑垃圾中转站</w:t>
      </w:r>
      <w:r>
        <w:rPr>
          <w:rFonts w:hint="eastAsia" w:ascii="仿宋" w:hAnsi="仿宋" w:eastAsia="仿宋" w:cs="仿宋"/>
          <w:color w:val="auto"/>
          <w:spacing w:val="0"/>
          <w:sz w:val="32"/>
          <w:szCs w:val="32"/>
          <w:highlight w:val="none"/>
          <w:lang w:val="en-US" w:eastAsia="zh-CN"/>
        </w:rPr>
        <w:t>选址位于广东省清远市清城区源潭镇大江布村（原踵头瓦厂）</w:t>
      </w:r>
      <w:r>
        <w:rPr>
          <w:rFonts w:hint="eastAsia" w:ascii="仿宋" w:hAnsi="仿宋" w:cs="仿宋"/>
          <w:color w:val="auto"/>
          <w:spacing w:val="0"/>
          <w:sz w:val="32"/>
          <w:szCs w:val="32"/>
          <w:highlight w:val="none"/>
          <w:lang w:val="en-US" w:eastAsia="zh-CN"/>
        </w:rPr>
        <w:t>，处理规模为0.3万m³，主要收集清远市源潭镇周边的建筑垃圾，包括工程垃圾、拆除垃圾、装修垃圾等运至其他临时消纳场，作临时堆放及中转处理。2024年12月底正式投入使用。</w:t>
      </w:r>
    </w:p>
    <w:p w14:paraId="566728AD">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飞来峡镇建筑垃圾中转站</w:t>
      </w:r>
      <w:r>
        <w:rPr>
          <w:rFonts w:hint="eastAsia" w:ascii="仿宋" w:hAnsi="仿宋" w:eastAsia="仿宋" w:cs="仿宋"/>
          <w:color w:val="auto"/>
          <w:spacing w:val="0"/>
          <w:sz w:val="32"/>
          <w:szCs w:val="32"/>
          <w:highlight w:val="none"/>
          <w:lang w:val="en-US" w:eastAsia="zh-CN"/>
        </w:rPr>
        <w:t>选址位于广东省清远市清城区飞来峡镇大岗岭</w:t>
      </w:r>
      <w:r>
        <w:rPr>
          <w:rFonts w:hint="eastAsia" w:ascii="仿宋" w:hAnsi="仿宋" w:cs="仿宋"/>
          <w:color w:val="auto"/>
          <w:spacing w:val="0"/>
          <w:sz w:val="32"/>
          <w:szCs w:val="32"/>
          <w:highlight w:val="none"/>
          <w:lang w:val="en-US" w:eastAsia="zh-CN"/>
        </w:rPr>
        <w:t>，处理规模为0.3万m³，主要收集清远市飞来峡镇周边的建筑垃圾，包括工程垃圾、拆除垃圾、装修垃圾等运至其他临时消纳场，作临时堆放及中转处理。</w:t>
      </w:r>
      <w:r>
        <w:rPr>
          <w:rFonts w:hint="eastAsia" w:ascii="仿宋" w:hAnsi="仿宋" w:eastAsia="仿宋" w:cs="仿宋"/>
          <w:color w:val="auto"/>
          <w:spacing w:val="0"/>
          <w:sz w:val="32"/>
          <w:szCs w:val="32"/>
          <w:highlight w:val="none"/>
          <w:lang w:val="en-US" w:eastAsia="zh-CN"/>
        </w:rPr>
        <w:t>2024年12月底正式投入使用。</w:t>
      </w:r>
    </w:p>
    <w:p w14:paraId="3C9FDD9D">
      <w:pPr>
        <w:keepNext w:val="0"/>
        <w:keepLines w:val="0"/>
        <w:pageBreakBefore w:val="0"/>
        <w:widowControl/>
        <w:kinsoku/>
        <w:wordWrap/>
        <w:overflowPunct w:val="0"/>
        <w:topLinePunct w:val="0"/>
        <w:autoSpaceDE/>
        <w:autoSpaceDN/>
        <w:bidi w:val="0"/>
        <w:adjustRightInd/>
        <w:snapToGrid/>
        <w:spacing w:line="600" w:lineRule="exact"/>
        <w:ind w:firstLine="643"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建筑垃圾收纳点</w:t>
      </w:r>
      <w:r>
        <w:rPr>
          <w:rFonts w:hint="eastAsia" w:ascii="仿宋" w:hAnsi="仿宋" w:eastAsia="仿宋" w:cs="仿宋"/>
          <w:color w:val="auto"/>
          <w:spacing w:val="0"/>
          <w:sz w:val="32"/>
          <w:szCs w:val="32"/>
          <w:highlight w:val="none"/>
          <w:lang w:val="en-US" w:eastAsia="zh-CN"/>
        </w:rPr>
        <w:t>已暂时选定大学西路御景湖畔西门和凤城街道天福花园放置建筑垃圾收纳箱</w:t>
      </w:r>
      <w:r>
        <w:rPr>
          <w:rFonts w:hint="eastAsia" w:ascii="仿宋" w:hAnsi="仿宋" w:cs="仿宋"/>
          <w:color w:val="auto"/>
          <w:spacing w:val="0"/>
          <w:sz w:val="32"/>
          <w:szCs w:val="32"/>
          <w:highlight w:val="none"/>
          <w:lang w:val="en-US" w:eastAsia="zh-CN"/>
        </w:rPr>
        <w:t>，收纳箱已完成设施安装，2024年底完成小程序测试并正式投入使用。</w:t>
      </w:r>
      <w:r>
        <w:rPr>
          <w:rFonts w:hint="eastAsia" w:ascii="仿宋" w:hAnsi="仿宋" w:eastAsia="仿宋" w:cs="仿宋"/>
          <w:color w:val="auto"/>
          <w:spacing w:val="0"/>
          <w:sz w:val="32"/>
          <w:szCs w:val="32"/>
          <w:highlight w:val="none"/>
          <w:lang w:val="en-US" w:eastAsia="zh-CN"/>
        </w:rPr>
        <w:t>未来将在地下停车场、社区门口等位置放置建筑垃圾收纳箱</w:t>
      </w:r>
      <w:r>
        <w:rPr>
          <w:rFonts w:hint="eastAsia" w:ascii="仿宋" w:hAnsi="仿宋" w:cs="仿宋"/>
          <w:color w:val="auto"/>
          <w:spacing w:val="0"/>
          <w:sz w:val="32"/>
          <w:szCs w:val="32"/>
          <w:highlight w:val="none"/>
          <w:lang w:val="en-US" w:eastAsia="zh-CN"/>
        </w:rPr>
        <w:t>（5-10m³/处）。</w:t>
      </w:r>
    </w:p>
    <w:p w14:paraId="235354A2">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经核实，实施项目不占河道、无地质灾害点，但仍需充分论证（环境影响评价报告、地灾评估报告等通过）后，满足《建筑垃圾处理技术标准（CJJ/T 134</w:t>
      </w:r>
      <w:r>
        <w:rPr>
          <w:rFonts w:hint="eastAsia" w:ascii="仿宋" w:hAnsi="仿宋" w:cs="仿宋"/>
          <w:color w:val="auto"/>
          <w:spacing w:val="0"/>
          <w:sz w:val="32"/>
          <w:szCs w:val="32"/>
          <w:highlight w:val="none"/>
          <w:lang w:val="en-US" w:eastAsia="zh-CN"/>
        </w:rPr>
        <w:t>-2019</w:t>
      </w:r>
      <w:r>
        <w:rPr>
          <w:rFonts w:hint="eastAsia" w:ascii="仿宋" w:hAnsi="仿宋" w:eastAsia="仿宋" w:cs="仿宋"/>
          <w:color w:val="auto"/>
          <w:spacing w:val="0"/>
          <w:sz w:val="32"/>
          <w:szCs w:val="32"/>
          <w:highlight w:val="none"/>
          <w:lang w:val="en-US" w:eastAsia="zh-CN"/>
        </w:rPr>
        <w:t>）》相关选址要求，征得相关部门同意后方能建设使用。</w:t>
      </w:r>
    </w:p>
    <w:p w14:paraId="3981D387">
      <w:pPr>
        <w:pStyle w:val="2"/>
        <w:numPr>
          <w:ilvl w:val="0"/>
          <w:numId w:val="0"/>
        </w:numPr>
        <w:bidi w:val="0"/>
        <w:ind w:left="420" w:leftChars="0" w:firstLine="220" w:firstLineChars="0"/>
        <w:rPr>
          <w:rFonts w:hint="eastAsia" w:ascii="仿宋" w:hAnsi="仿宋" w:eastAsia="仿宋" w:cs="仿宋"/>
          <w:b/>
          <w:bCs/>
          <w:color w:val="auto"/>
          <w:spacing w:val="0"/>
          <w:highlight w:val="none"/>
          <w:lang w:val="en-US" w:eastAsia="zh-CN"/>
        </w:rPr>
      </w:pPr>
      <w:bookmarkStart w:id="92" w:name="_Toc19234"/>
      <w:bookmarkStart w:id="93" w:name="_Toc2891"/>
      <w:r>
        <w:rPr>
          <w:rFonts w:hint="eastAsia" w:ascii="仿宋" w:hAnsi="仿宋" w:eastAsia="黑体" w:cs="仿宋"/>
          <w:b/>
          <w:bCs/>
          <w:color w:val="auto"/>
          <w:spacing w:val="0"/>
          <w:kern w:val="0"/>
          <w:sz w:val="32"/>
          <w:szCs w:val="32"/>
          <w:lang w:val="en-US" w:eastAsia="zh-CN" w:bidi="ar-SA"/>
        </w:rPr>
        <w:t>十二、</w:t>
      </w:r>
      <w:r>
        <w:rPr>
          <w:rFonts w:hint="eastAsia" w:ascii="仿宋" w:hAnsi="仿宋" w:eastAsia="仿宋" w:cs="仿宋"/>
          <w:b/>
          <w:bCs/>
          <w:color w:val="auto"/>
          <w:spacing w:val="0"/>
          <w:sz w:val="32"/>
          <w:szCs w:val="32"/>
          <w:highlight w:val="none"/>
          <w:lang w:val="en-US" w:eastAsia="zh-CN"/>
        </w:rPr>
        <w:t>保障措施</w:t>
      </w:r>
      <w:bookmarkEnd w:id="92"/>
      <w:bookmarkEnd w:id="93"/>
    </w:p>
    <w:p w14:paraId="41DCABDD">
      <w:pPr>
        <w:pStyle w:val="3"/>
        <w:pageBreakBefore w:val="0"/>
        <w:widowControl/>
        <w:numPr>
          <w:ilvl w:val="1"/>
          <w:numId w:val="0"/>
        </w:numPr>
        <w:kinsoku/>
        <w:wordWrap/>
        <w:overflowPunct/>
        <w:topLinePunct w:val="0"/>
        <w:autoSpaceDE/>
        <w:autoSpaceDN/>
        <w:bidi w:val="0"/>
        <w:adjustRightInd/>
        <w:snapToGrid/>
        <w:spacing w:line="600" w:lineRule="exact"/>
        <w:ind w:left="0" w:leftChars="0" w:firstLine="640" w:firstLineChars="0"/>
        <w:textAlignment w:val="auto"/>
        <w:rPr>
          <w:rFonts w:hint="eastAsia" w:ascii="仿宋" w:hAnsi="仿宋" w:eastAsia="仿宋" w:cs="仿宋"/>
          <w:b/>
          <w:bCs w:val="0"/>
          <w:color w:val="auto"/>
          <w:spacing w:val="0"/>
          <w:kern w:val="2"/>
          <w:sz w:val="32"/>
          <w:szCs w:val="32"/>
          <w:highlight w:val="none"/>
          <w:lang w:val="en-US" w:eastAsia="zh-CN" w:bidi="ar-SA"/>
        </w:rPr>
      </w:pPr>
      <w:bookmarkStart w:id="94" w:name="_Toc492"/>
      <w:r>
        <w:rPr>
          <w:rFonts w:hint="eastAsia" w:ascii="仿宋" w:hAnsi="仿宋" w:eastAsia="方正楷体_GB2312" w:cs="仿宋"/>
          <w:b/>
          <w:bCs w:val="0"/>
          <w:color w:val="auto"/>
          <w:spacing w:val="0"/>
          <w:kern w:val="2"/>
          <w:sz w:val="32"/>
          <w:szCs w:val="32"/>
          <w:lang w:val="en-US" w:eastAsia="zh-CN" w:bidi="ar-SA"/>
        </w:rPr>
        <w:t>（一）</w:t>
      </w:r>
      <w:r>
        <w:rPr>
          <w:rFonts w:hint="eastAsia" w:ascii="仿宋" w:hAnsi="仿宋" w:eastAsia="仿宋" w:cs="仿宋"/>
          <w:b/>
          <w:bCs w:val="0"/>
          <w:color w:val="auto"/>
          <w:spacing w:val="0"/>
          <w:kern w:val="2"/>
          <w:sz w:val="32"/>
          <w:szCs w:val="32"/>
          <w:highlight w:val="none"/>
          <w:lang w:val="en-US" w:eastAsia="zh-CN" w:bidi="ar-SA"/>
        </w:rPr>
        <w:t>强化统筹推进</w:t>
      </w:r>
      <w:bookmarkEnd w:id="94"/>
    </w:p>
    <w:p w14:paraId="73FB9A74">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应坚持党的领导并贯彻到整体规划实施全过程，落实相关部门管理责任。按照职能分工，建立责任明确、协调有序、监管有力的工作协调机制，强化政策联动，统筹推进辖区内建筑垃圾污染防治、综合利用等工作。加快编制建筑垃圾相关规划，科学预测辖区建筑垃圾产生情况，依据本行政区域国土空间规划，统筹安排建筑垃圾处理设施的布局和用地。应积极对辖区内政策执行情况和产业发展情况进行跟踪评估，针对薄弱环节、滞后领域、管理盲点尽快制定并出台管理制度或方案，每年上报建筑垃圾产业及综合利用情况。建立健全规划评价考核体系和考核办法并严格执行，建立常态化风险监测机制，对建筑垃圾处置设施风险隐患实时监测跟踪。</w:t>
      </w:r>
    </w:p>
    <w:p w14:paraId="5BE805F4">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95" w:name="_Toc21435"/>
      <w:r>
        <w:rPr>
          <w:rFonts w:hint="eastAsia" w:ascii="仿宋" w:hAnsi="仿宋" w:eastAsia="方正楷体_GB2312" w:cs="仿宋"/>
          <w:b/>
          <w:bCs w:val="0"/>
          <w:color w:val="auto"/>
          <w:spacing w:val="0"/>
          <w:kern w:val="2"/>
          <w:sz w:val="32"/>
          <w:szCs w:val="32"/>
          <w:lang w:val="en-US" w:eastAsia="zh-CN" w:bidi="ar-SA"/>
        </w:rPr>
        <w:t>（二）</w:t>
      </w:r>
      <w:r>
        <w:rPr>
          <w:rFonts w:hint="eastAsia" w:ascii="仿宋" w:hAnsi="仿宋" w:eastAsia="仿宋" w:cs="仿宋"/>
          <w:b/>
          <w:bCs w:val="0"/>
          <w:color w:val="auto"/>
          <w:spacing w:val="0"/>
          <w:kern w:val="2"/>
          <w:sz w:val="32"/>
          <w:szCs w:val="32"/>
          <w:highlight w:val="none"/>
          <w:lang w:val="en-US" w:eastAsia="zh-CN" w:bidi="ar-SA"/>
        </w:rPr>
        <w:t>强化联合执法监管</w:t>
      </w:r>
      <w:bookmarkEnd w:id="95"/>
    </w:p>
    <w:p w14:paraId="070E3369">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由建筑垃圾主管部门牵头，住建、公安、规自、生态环境、交通、水利等部门按职责分工，建立健全多部门协同监管和联合执法工作机制，明确职责分工，建立定期会商、协作联动、信息共享制度，畅通线索通报渠道，进一步形成监管合力，涉嫌犯罪的，依法追究刑事责任。统筹各部门和基层执法力量，开展常态化联合执法行动，提升执法效能。</w:t>
      </w:r>
    </w:p>
    <w:p w14:paraId="2ECA3193">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96" w:name="_Toc5180"/>
      <w:r>
        <w:rPr>
          <w:rFonts w:hint="eastAsia" w:ascii="仿宋" w:hAnsi="仿宋" w:eastAsia="方正楷体_GB2312" w:cs="仿宋"/>
          <w:b/>
          <w:bCs w:val="0"/>
          <w:color w:val="auto"/>
          <w:spacing w:val="0"/>
          <w:kern w:val="2"/>
          <w:sz w:val="32"/>
          <w:szCs w:val="32"/>
          <w:lang w:val="en-US" w:eastAsia="zh-CN" w:bidi="ar-SA"/>
        </w:rPr>
        <w:t>（三）</w:t>
      </w:r>
      <w:r>
        <w:rPr>
          <w:rFonts w:hint="eastAsia" w:ascii="仿宋" w:hAnsi="仿宋" w:eastAsia="仿宋" w:cs="仿宋"/>
          <w:b/>
          <w:bCs w:val="0"/>
          <w:color w:val="auto"/>
          <w:spacing w:val="0"/>
          <w:kern w:val="2"/>
          <w:sz w:val="32"/>
          <w:szCs w:val="32"/>
          <w:highlight w:val="none"/>
          <w:lang w:val="en-US" w:eastAsia="zh-CN" w:bidi="ar-SA"/>
        </w:rPr>
        <w:t>加大资金支持</w:t>
      </w:r>
      <w:bookmarkEnd w:id="96"/>
    </w:p>
    <w:p w14:paraId="574276D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发挥财政资金引导作用。</w:t>
      </w:r>
      <w:r>
        <w:rPr>
          <w:rFonts w:hint="eastAsia" w:ascii="仿宋" w:hAnsi="仿宋" w:cs="仿宋"/>
          <w:color w:val="auto"/>
          <w:spacing w:val="0"/>
          <w:sz w:val="32"/>
          <w:szCs w:val="32"/>
          <w:highlight w:val="none"/>
          <w:lang w:val="en-US" w:eastAsia="zh-CN"/>
        </w:rPr>
        <w:t>区财政</w:t>
      </w:r>
      <w:r>
        <w:rPr>
          <w:rFonts w:hint="eastAsia" w:ascii="仿宋" w:hAnsi="仿宋" w:eastAsia="仿宋" w:cs="仿宋"/>
          <w:color w:val="auto"/>
          <w:spacing w:val="0"/>
          <w:sz w:val="32"/>
          <w:szCs w:val="32"/>
          <w:highlight w:val="none"/>
          <w:lang w:val="en-US" w:eastAsia="zh-CN"/>
        </w:rPr>
        <w:t>应视当年财力情况，安排必要的资金用于支持符合条件的建筑垃圾污染防治项目，各相关部门按规定</w:t>
      </w:r>
      <w:r>
        <w:rPr>
          <w:rFonts w:hint="eastAsia" w:ascii="仿宋" w:hAnsi="仿宋" w:cs="仿宋"/>
          <w:color w:val="auto"/>
          <w:spacing w:val="0"/>
          <w:sz w:val="32"/>
          <w:szCs w:val="32"/>
          <w:highlight w:val="none"/>
          <w:lang w:val="en-US" w:eastAsia="zh-CN"/>
        </w:rPr>
        <w:t>将建筑垃圾污染防治项目</w:t>
      </w:r>
      <w:r>
        <w:rPr>
          <w:rFonts w:hint="eastAsia" w:ascii="仿宋" w:hAnsi="仿宋" w:eastAsia="仿宋" w:cs="仿宋"/>
          <w:color w:val="auto"/>
          <w:spacing w:val="0"/>
          <w:sz w:val="32"/>
          <w:szCs w:val="32"/>
          <w:highlight w:val="none"/>
          <w:lang w:val="en-US" w:eastAsia="zh-CN"/>
        </w:rPr>
        <w:t>列入同级年度部门预算，同时积极争取上级资金支持。拓宽投融资渠道，建立和完善企业、社会等多元化投融资体系，鼓励社会资金参与城市管理基础设施和社会化服务项目建设运营，形成多元化、可持续的资金投入机制。加强对资金的监管，对资金使用情况进行跟踪检查，确保资金使用的合规性和有效性，同时落实绩效管理要求，将绩效评价结果纳入财政分配考虑范围。</w:t>
      </w:r>
    </w:p>
    <w:p w14:paraId="1B822BE4">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97" w:name="_Toc10143"/>
      <w:r>
        <w:rPr>
          <w:rFonts w:hint="eastAsia" w:ascii="仿宋" w:hAnsi="仿宋" w:eastAsia="方正楷体_GB2312" w:cs="仿宋"/>
          <w:b/>
          <w:bCs w:val="0"/>
          <w:color w:val="auto"/>
          <w:spacing w:val="0"/>
          <w:kern w:val="2"/>
          <w:sz w:val="32"/>
          <w:szCs w:val="32"/>
          <w:lang w:val="en-US" w:eastAsia="zh-CN" w:bidi="ar-SA"/>
        </w:rPr>
        <w:t>（四）</w:t>
      </w:r>
      <w:r>
        <w:rPr>
          <w:rFonts w:hint="eastAsia" w:ascii="仿宋" w:hAnsi="仿宋" w:eastAsia="仿宋" w:cs="仿宋"/>
          <w:b/>
          <w:bCs w:val="0"/>
          <w:color w:val="auto"/>
          <w:spacing w:val="0"/>
          <w:kern w:val="2"/>
          <w:sz w:val="32"/>
          <w:szCs w:val="32"/>
          <w:highlight w:val="none"/>
          <w:lang w:val="en-US" w:eastAsia="zh-CN" w:bidi="ar-SA"/>
        </w:rPr>
        <w:t>完善用地保障</w:t>
      </w:r>
      <w:bookmarkEnd w:id="97"/>
    </w:p>
    <w:p w14:paraId="7C54B4CE">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将建筑垃圾污染防治项目统筹纳入各类国土空间规划，严格按照批准的城市空间规划布局与实施，优先落实设施建设用地，强化建筑垃圾污染防治规划的刚性约束。适宜采用灵活用地的设施，可通过租赁、先租后让、租让结合、弹性年期出让等方式落实用地保障。各</w:t>
      </w:r>
      <w:r>
        <w:rPr>
          <w:rFonts w:hint="eastAsia" w:ascii="仿宋" w:hAnsi="仿宋" w:cs="仿宋"/>
          <w:color w:val="auto"/>
          <w:spacing w:val="0"/>
          <w:sz w:val="32"/>
          <w:szCs w:val="32"/>
          <w:highlight w:val="none"/>
          <w:lang w:val="en-US" w:eastAsia="zh-CN"/>
        </w:rPr>
        <w:t>镇街</w:t>
      </w:r>
      <w:r>
        <w:rPr>
          <w:rFonts w:hint="eastAsia" w:ascii="仿宋" w:hAnsi="仿宋" w:eastAsia="仿宋" w:cs="仿宋"/>
          <w:color w:val="auto"/>
          <w:spacing w:val="0"/>
          <w:sz w:val="32"/>
          <w:szCs w:val="32"/>
          <w:highlight w:val="none"/>
          <w:lang w:val="en-US" w:eastAsia="zh-CN"/>
        </w:rPr>
        <w:t>定期梳理本</w:t>
      </w:r>
      <w:r>
        <w:rPr>
          <w:rFonts w:hint="eastAsia" w:ascii="仿宋" w:hAnsi="仿宋" w:cs="仿宋"/>
          <w:color w:val="auto"/>
          <w:spacing w:val="0"/>
          <w:sz w:val="32"/>
          <w:szCs w:val="32"/>
          <w:highlight w:val="none"/>
          <w:lang w:val="en-US" w:eastAsia="zh-CN"/>
        </w:rPr>
        <w:t>辖区</w:t>
      </w:r>
      <w:r>
        <w:rPr>
          <w:rFonts w:hint="eastAsia" w:ascii="仿宋" w:hAnsi="仿宋" w:eastAsia="仿宋" w:cs="仿宋"/>
          <w:color w:val="auto"/>
          <w:spacing w:val="0"/>
          <w:sz w:val="32"/>
          <w:szCs w:val="32"/>
          <w:highlight w:val="none"/>
          <w:lang w:val="en-US" w:eastAsia="zh-CN"/>
        </w:rPr>
        <w:t>内3年内暂不规划使用的储备地块以及长期闲置未被利用、低效利用的地块，对可用于建设建筑垃圾设施的临时地块，按照实事求是、简化办理的原则，依法办理相关临时用地手续，临时用地应严格遵守《广东省自然资源厅关于进一步严格规范临时用地管理的通知》（粤自然资规字〔2024〕1号文）的要求。</w:t>
      </w:r>
    </w:p>
    <w:p w14:paraId="519DCD59">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98" w:name="_Toc19124"/>
      <w:r>
        <w:rPr>
          <w:rFonts w:hint="eastAsia" w:ascii="仿宋" w:hAnsi="仿宋" w:eastAsia="方正楷体_GB2312" w:cs="仿宋"/>
          <w:b/>
          <w:bCs w:val="0"/>
          <w:color w:val="auto"/>
          <w:spacing w:val="0"/>
          <w:kern w:val="2"/>
          <w:sz w:val="32"/>
          <w:szCs w:val="32"/>
          <w:lang w:val="en-US" w:eastAsia="zh-CN" w:bidi="ar-SA"/>
        </w:rPr>
        <w:t>（五）</w:t>
      </w:r>
      <w:r>
        <w:rPr>
          <w:rFonts w:hint="eastAsia" w:ascii="仿宋" w:hAnsi="仿宋" w:eastAsia="仿宋" w:cs="仿宋"/>
          <w:b/>
          <w:bCs w:val="0"/>
          <w:color w:val="auto"/>
          <w:spacing w:val="0"/>
          <w:kern w:val="2"/>
          <w:sz w:val="32"/>
          <w:szCs w:val="32"/>
          <w:highlight w:val="none"/>
          <w:lang w:val="en-US" w:eastAsia="zh-CN" w:bidi="ar-SA"/>
        </w:rPr>
        <w:t>推动建筑垃圾利用处置情况作为财政结算依据</w:t>
      </w:r>
      <w:bookmarkEnd w:id="98"/>
    </w:p>
    <w:p w14:paraId="4F8D139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探索项目结算机制的优化，由建筑垃圾主管部门对财政性资金占主导的项目工程处置建筑垃圾及使用建筑垃圾再生产品情况进行确认，以此作为财政资金结算依据。</w:t>
      </w:r>
    </w:p>
    <w:p w14:paraId="7B234D87">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99" w:name="_Toc30188"/>
      <w:r>
        <w:rPr>
          <w:rFonts w:hint="eastAsia" w:ascii="仿宋" w:hAnsi="仿宋" w:eastAsia="方正楷体_GB2312" w:cs="仿宋"/>
          <w:b/>
          <w:bCs w:val="0"/>
          <w:color w:val="auto"/>
          <w:spacing w:val="0"/>
          <w:kern w:val="2"/>
          <w:sz w:val="32"/>
          <w:szCs w:val="32"/>
          <w:lang w:val="en-US" w:eastAsia="zh-CN" w:bidi="ar-SA"/>
        </w:rPr>
        <w:t>（六）</w:t>
      </w:r>
      <w:r>
        <w:rPr>
          <w:rFonts w:hint="eastAsia" w:ascii="仿宋" w:hAnsi="仿宋" w:eastAsia="仿宋" w:cs="仿宋"/>
          <w:b/>
          <w:bCs w:val="0"/>
          <w:color w:val="auto"/>
          <w:spacing w:val="0"/>
          <w:kern w:val="2"/>
          <w:sz w:val="32"/>
          <w:szCs w:val="32"/>
          <w:highlight w:val="none"/>
          <w:lang w:val="en-US" w:eastAsia="zh-CN" w:bidi="ar-SA"/>
        </w:rPr>
        <w:t>强化人才队伍建设</w:t>
      </w:r>
      <w:bookmarkEnd w:id="99"/>
    </w:p>
    <w:p w14:paraId="59EA55BB">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pacing w:val="0"/>
          <w:sz w:val="32"/>
          <w:szCs w:val="32"/>
          <w:highlight w:val="none"/>
          <w:lang w:val="en-US" w:eastAsia="zh-CN"/>
        </w:rPr>
      </w:pPr>
      <w:r>
        <w:rPr>
          <w:rFonts w:hint="eastAsia" w:ascii="仿宋" w:hAnsi="仿宋" w:eastAsia="仿宋" w:cs="仿宋"/>
          <w:color w:val="auto"/>
          <w:spacing w:val="0"/>
          <w:sz w:val="32"/>
          <w:szCs w:val="32"/>
          <w:highlight w:val="none"/>
          <w:lang w:val="en-US" w:eastAsia="zh-CN"/>
        </w:rPr>
        <w:t>建立完善人才培养和引进机制。定期开展相关企业管理和技术人员培训，制定考核标准，切实提高相关人员组织实施清洁生产、绿色工厂、绿色园区及建筑垃圾综合利用的技术和业务能力，同时以合作研究、学术交流等多种方式引进高层次管理人才和技术人才，积极推进清洁生产、建筑垃圾综合利用等创新团队的建设。加强与地方高校合作交流，建立产学研相结合的工业清洁生产和建筑垃圾综合利用技术创新体系，强化科研与生产的联合、协作。</w:t>
      </w:r>
    </w:p>
    <w:p w14:paraId="09732ABA">
      <w:pPr>
        <w:pStyle w:val="3"/>
        <w:pageBreakBefore w:val="0"/>
        <w:widowControl/>
        <w:numPr>
          <w:ilvl w:val="1"/>
          <w:numId w:val="0"/>
        </w:numPr>
        <w:kinsoku/>
        <w:wordWrap/>
        <w:overflowPunct/>
        <w:topLinePunct w:val="0"/>
        <w:autoSpaceDE/>
        <w:autoSpaceDN/>
        <w:bidi w:val="0"/>
        <w:adjustRightInd/>
        <w:snapToGrid/>
        <w:ind w:left="0" w:leftChars="0" w:firstLine="640" w:firstLineChars="0"/>
        <w:rPr>
          <w:rFonts w:hint="eastAsia" w:ascii="仿宋" w:hAnsi="仿宋" w:eastAsia="仿宋" w:cs="仿宋"/>
          <w:b/>
          <w:bCs w:val="0"/>
          <w:color w:val="auto"/>
          <w:spacing w:val="0"/>
          <w:kern w:val="2"/>
          <w:sz w:val="32"/>
          <w:szCs w:val="32"/>
          <w:highlight w:val="none"/>
          <w:lang w:val="en-US" w:eastAsia="zh-CN" w:bidi="ar-SA"/>
        </w:rPr>
      </w:pPr>
      <w:bookmarkStart w:id="100" w:name="_Toc29258"/>
      <w:r>
        <w:rPr>
          <w:rFonts w:hint="eastAsia" w:ascii="仿宋" w:hAnsi="仿宋" w:eastAsia="方正楷体_GB2312" w:cs="仿宋"/>
          <w:b/>
          <w:bCs w:val="0"/>
          <w:color w:val="auto"/>
          <w:spacing w:val="0"/>
          <w:kern w:val="2"/>
          <w:sz w:val="32"/>
          <w:szCs w:val="32"/>
          <w:lang w:val="en-US" w:eastAsia="zh-CN" w:bidi="ar-SA"/>
        </w:rPr>
        <w:t>（七）</w:t>
      </w:r>
      <w:r>
        <w:rPr>
          <w:rFonts w:hint="eastAsia" w:ascii="仿宋" w:hAnsi="仿宋" w:eastAsia="仿宋" w:cs="仿宋"/>
          <w:b/>
          <w:bCs w:val="0"/>
          <w:color w:val="auto"/>
          <w:spacing w:val="0"/>
          <w:kern w:val="2"/>
          <w:sz w:val="32"/>
          <w:szCs w:val="32"/>
          <w:highlight w:val="none"/>
          <w:lang w:val="en-US" w:eastAsia="zh-CN" w:bidi="ar-SA"/>
        </w:rPr>
        <w:t>加强宣传培训</w:t>
      </w:r>
      <w:bookmarkEnd w:id="100"/>
    </w:p>
    <w:p w14:paraId="6F5C74D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eastAsia" w:ascii="仿宋" w:hAnsi="仿宋" w:eastAsia="仿宋" w:cs="仿宋"/>
          <w:b/>
          <w:bCs/>
          <w:color w:val="auto"/>
          <w:spacing w:val="0"/>
          <w:sz w:val="32"/>
          <w:szCs w:val="32"/>
          <w:highlight w:val="none"/>
          <w:lang w:val="en-US" w:eastAsia="zh-CN"/>
        </w:rPr>
        <w:sectPr>
          <w:footerReference r:id="rId9" w:type="first"/>
          <w:footerReference r:id="rId8" w:type="default"/>
          <w:pgSz w:w="11905" w:h="16838"/>
          <w:pgMar w:top="1587" w:right="1587" w:bottom="1474" w:left="1587" w:header="851" w:footer="567" w:gutter="0"/>
          <w:pgBorders w:offsetFrom="page">
            <w:top w:val="none" w:sz="0" w:space="0"/>
            <w:left w:val="none" w:sz="0" w:space="0"/>
            <w:bottom w:val="none" w:sz="0" w:space="0"/>
            <w:right w:val="none" w:sz="0" w:space="0"/>
          </w:pgBorders>
          <w:pgNumType w:fmt="decimal" w:start="1"/>
          <w:cols w:space="0" w:num="1"/>
          <w:titlePg/>
          <w:rtlGutter w:val="0"/>
          <w:docGrid w:linePitch="381" w:charSpace="0"/>
        </w:sectPr>
      </w:pPr>
      <w:r>
        <w:rPr>
          <w:rFonts w:hint="eastAsia" w:ascii="仿宋" w:hAnsi="仿宋" w:eastAsia="仿宋" w:cs="仿宋"/>
          <w:color w:val="auto"/>
          <w:spacing w:val="0"/>
          <w:sz w:val="32"/>
          <w:szCs w:val="32"/>
          <w:highlight w:val="none"/>
          <w:lang w:val="en-US" w:eastAsia="zh-CN"/>
        </w:rPr>
        <w:t>加大对建筑垃圾污染防治工作重要性及必要性的宣传力度，组织开展形式多样的宣传活动，通过传统新闻媒体、新媒体等多种途径宣传普及《中华人民共和国固体废物污染环境防治法》《广东省建筑垃圾管理条例》和建筑垃圾综合利用有关知识，积极引导公众遵循“绿色中国”理念，提高全民节约资源和保护环境的意识。此外，应完善建筑垃圾信访举报渠道，充分发挥并动员各类组织、公众、媒体等社会力量参与，建立有奖举报制度，健全监督体系。借助各有关部门、行业协会的协调、指导作用，宣传清洁生产和建筑垃圾综合利用典型案例，推广典型经验，营造全社会积极参与的良好氛围。</w:t>
      </w:r>
    </w:p>
    <w:p w14:paraId="5EB2CF60">
      <w:pPr>
        <w:numPr>
          <w:ilvl w:val="0"/>
          <w:numId w:val="0"/>
        </w:numPr>
        <w:tabs>
          <w:tab w:val="left" w:pos="0"/>
          <w:tab w:val="left" w:pos="420"/>
        </w:tabs>
        <w:bidi w:val="0"/>
        <w:ind w:left="640" w:leftChars="0"/>
        <w:outlineLvl w:val="9"/>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t>附图</w:t>
      </w:r>
    </w:p>
    <w:p w14:paraId="05DE1F73">
      <w:pPr>
        <w:pageBreakBefore w:val="0"/>
        <w:widowControl/>
        <w:numPr>
          <w:ilvl w:val="0"/>
          <w:numId w:val="0"/>
        </w:numPr>
        <w:tabs>
          <w:tab w:val="left" w:pos="540"/>
        </w:tabs>
        <w:kinsoku/>
        <w:wordWrap/>
        <w:overflowPunct/>
        <w:topLinePunct w:val="0"/>
        <w:autoSpaceDE/>
        <w:autoSpaceDN/>
        <w:bidi w:val="0"/>
        <w:adjustRightInd/>
        <w:snapToGrid/>
        <w:spacing w:line="600" w:lineRule="exact"/>
        <w:ind w:left="0" w:leftChars="0" w:firstLine="640" w:firstLineChars="0"/>
        <w:textAlignment w:val="auto"/>
        <w:outlineLvl w:val="9"/>
        <w:rPr>
          <w:rFonts w:hint="eastAsia" w:ascii="仿宋" w:hAnsi="仿宋" w:eastAsia="仿宋" w:cs="仿宋"/>
          <w:b/>
          <w:bCs w:val="0"/>
          <w:color w:val="auto"/>
          <w:spacing w:val="0"/>
          <w:kern w:val="2"/>
          <w:sz w:val="32"/>
          <w:szCs w:val="32"/>
          <w:highlight w:val="none"/>
          <w:lang w:val="en-US" w:eastAsia="zh-CN" w:bidi="ar-SA"/>
        </w:rPr>
      </w:pPr>
      <w:r>
        <w:rPr>
          <w:rFonts w:hint="eastAsia" w:ascii="仿宋" w:hAnsi="仿宋" w:eastAsia="仿宋" w:cs="仿宋"/>
          <w:b/>
          <w:bCs w:val="0"/>
          <w:color w:val="auto"/>
          <w:spacing w:val="0"/>
          <w:kern w:val="2"/>
          <w:sz w:val="32"/>
          <w:szCs w:val="32"/>
          <w:highlight w:val="none"/>
          <w:lang w:val="en-US" w:eastAsia="zh-CN" w:bidi="ar-SA"/>
        </w:rPr>
        <w:t>建筑垃圾处理设施规划图</w:t>
      </w:r>
    </w:p>
    <w:p w14:paraId="731A46A1">
      <w:pPr>
        <w:rPr>
          <w:rFonts w:hint="eastAsia" w:ascii="仿宋" w:hAnsi="仿宋" w:eastAsia="仿宋" w:cs="仿宋"/>
          <w:b/>
          <w:bCs/>
          <w:color w:val="auto"/>
          <w:spacing w:val="0"/>
          <w:sz w:val="32"/>
          <w:szCs w:val="32"/>
          <w:highlight w:val="none"/>
          <w:lang w:val="en-US" w:eastAsia="zh-CN"/>
        </w:rPr>
      </w:pPr>
      <w:r>
        <w:rPr>
          <w:rFonts w:hint="eastAsia" w:ascii="仿宋" w:hAnsi="仿宋" w:eastAsia="仿宋" w:cs="仿宋"/>
          <w:b/>
          <w:bCs/>
          <w:color w:val="auto"/>
          <w:spacing w:val="0"/>
          <w:sz w:val="32"/>
          <w:szCs w:val="32"/>
          <w:highlight w:val="none"/>
          <w:lang w:val="en-US" w:eastAsia="zh-CN"/>
        </w:rPr>
        <w:br w:type="page"/>
      </w:r>
    </w:p>
    <w:p w14:paraId="7605BF4E">
      <w:pPr>
        <w:numPr>
          <w:ilvl w:val="0"/>
          <w:numId w:val="0"/>
        </w:numPr>
        <w:tabs>
          <w:tab w:val="left" w:pos="0"/>
          <w:tab w:val="left" w:pos="420"/>
        </w:tabs>
        <w:bidi w:val="0"/>
        <w:ind w:left="640" w:leftChars="0"/>
        <w:outlineLvl w:val="9"/>
        <w:rPr>
          <w:rFonts w:hint="eastAsia"/>
          <w:lang w:val="en-US" w:eastAsia="zh-CN"/>
        </w:rPr>
      </w:pPr>
      <w:r>
        <w:rPr>
          <w:rFonts w:hint="eastAsia" w:ascii="仿宋" w:hAnsi="仿宋" w:eastAsia="仿宋" w:cs="仿宋"/>
          <w:b/>
          <w:bCs/>
          <w:color w:val="auto"/>
          <w:spacing w:val="0"/>
          <w:sz w:val="32"/>
          <w:szCs w:val="32"/>
          <w:highlight w:val="none"/>
          <w:lang w:val="en-US" w:eastAsia="zh-CN"/>
        </w:rPr>
        <w:t>附件</w:t>
      </w:r>
    </w:p>
    <w:p w14:paraId="449F0EAD">
      <w:pPr>
        <w:pageBreakBefore w:val="0"/>
        <w:widowControl/>
        <w:numPr>
          <w:ilvl w:val="0"/>
          <w:numId w:val="0"/>
        </w:numPr>
        <w:tabs>
          <w:tab w:val="left" w:pos="540"/>
        </w:tabs>
        <w:kinsoku/>
        <w:wordWrap/>
        <w:overflowPunct/>
        <w:topLinePunct w:val="0"/>
        <w:autoSpaceDE/>
        <w:autoSpaceDN/>
        <w:bidi w:val="0"/>
        <w:adjustRightInd/>
        <w:snapToGrid/>
        <w:spacing w:line="600" w:lineRule="exact"/>
        <w:ind w:left="0" w:leftChars="0" w:firstLine="640" w:firstLineChars="0"/>
        <w:textAlignment w:val="auto"/>
        <w:outlineLvl w:val="9"/>
        <w:rPr>
          <w:rFonts w:hint="default" w:ascii="仿宋" w:hAnsi="仿宋" w:eastAsia="仿宋" w:cs="仿宋"/>
          <w:b/>
          <w:bCs w:val="0"/>
          <w:color w:val="auto"/>
          <w:spacing w:val="0"/>
          <w:kern w:val="2"/>
          <w:sz w:val="32"/>
          <w:szCs w:val="32"/>
          <w:highlight w:val="none"/>
          <w:lang w:val="en-US" w:eastAsia="zh-CN" w:bidi="ar-SA"/>
        </w:rPr>
      </w:pPr>
      <w:r>
        <w:rPr>
          <w:rFonts w:hint="eastAsia" w:ascii="仿宋" w:hAnsi="仿宋" w:eastAsia="仿宋" w:cs="仿宋"/>
          <w:b/>
          <w:bCs w:val="0"/>
          <w:color w:val="auto"/>
          <w:spacing w:val="0"/>
          <w:kern w:val="2"/>
          <w:sz w:val="32"/>
          <w:szCs w:val="32"/>
          <w:highlight w:val="none"/>
          <w:lang w:val="en-US" w:eastAsia="zh-CN" w:bidi="ar-SA"/>
        </w:rPr>
        <w:t>第一次征求意见情况及采纳情况</w:t>
      </w:r>
    </w:p>
    <w:p w14:paraId="1E95DB61">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color w:val="auto"/>
          <w:spacing w:val="0"/>
          <w:sz w:val="32"/>
          <w:szCs w:val="32"/>
          <w:highlight w:val="none"/>
          <w:lang w:val="en-US" w:eastAsia="zh-CN"/>
        </w:rPr>
      </w:pPr>
    </w:p>
    <w:p w14:paraId="3B3AFC25">
      <w:pPr>
        <w:rPr>
          <w:rFonts w:hint="eastAsia" w:ascii="仿宋" w:hAnsi="仿宋" w:cs="仿宋"/>
          <w:b/>
          <w:bCs w:val="0"/>
          <w:color w:val="auto"/>
          <w:spacing w:val="0"/>
          <w:kern w:val="2"/>
          <w:sz w:val="32"/>
          <w:szCs w:val="32"/>
          <w:highlight w:val="none"/>
          <w:lang w:val="en-US" w:eastAsia="zh-CN" w:bidi="ar-SA"/>
        </w:rPr>
      </w:pPr>
      <w:r>
        <w:rPr>
          <w:rFonts w:hint="eastAsia" w:ascii="仿宋" w:hAnsi="仿宋" w:cs="仿宋"/>
          <w:b/>
          <w:bCs w:val="0"/>
          <w:color w:val="auto"/>
          <w:spacing w:val="0"/>
          <w:kern w:val="2"/>
          <w:sz w:val="32"/>
          <w:szCs w:val="32"/>
          <w:highlight w:val="none"/>
          <w:lang w:val="en-US" w:eastAsia="zh-CN" w:bidi="ar-SA"/>
        </w:rPr>
        <w:br w:type="page"/>
      </w:r>
    </w:p>
    <w:p w14:paraId="05BD6A22">
      <w:pPr>
        <w:pageBreakBefore w:val="0"/>
        <w:widowControl/>
        <w:numPr>
          <w:ilvl w:val="1"/>
          <w:numId w:val="0"/>
        </w:numPr>
        <w:tabs>
          <w:tab w:val="left" w:pos="540"/>
        </w:tabs>
        <w:kinsoku/>
        <w:wordWrap/>
        <w:overflowPunct/>
        <w:topLinePunct w:val="0"/>
        <w:autoSpaceDE/>
        <w:autoSpaceDN/>
        <w:bidi w:val="0"/>
        <w:adjustRightInd/>
        <w:snapToGrid/>
        <w:spacing w:line="600" w:lineRule="exact"/>
        <w:ind w:left="0" w:leftChars="0" w:firstLine="640" w:firstLineChars="0"/>
        <w:textAlignment w:val="auto"/>
        <w:outlineLvl w:val="9"/>
        <w:rPr>
          <w:rFonts w:hint="default" w:ascii="仿宋" w:hAnsi="仿宋" w:eastAsia="仿宋" w:cs="仿宋"/>
          <w:b/>
          <w:bCs w:val="0"/>
          <w:color w:val="auto"/>
          <w:spacing w:val="0"/>
          <w:kern w:val="2"/>
          <w:sz w:val="32"/>
          <w:szCs w:val="32"/>
          <w:highlight w:val="none"/>
          <w:lang w:val="en-US" w:eastAsia="zh-CN" w:bidi="ar-SA"/>
        </w:rPr>
      </w:pPr>
      <w:r>
        <w:rPr>
          <w:rFonts w:hint="eastAsia" w:ascii="仿宋" w:hAnsi="仿宋" w:cs="仿宋"/>
          <w:b/>
          <w:bCs w:val="0"/>
          <w:color w:val="auto"/>
          <w:spacing w:val="0"/>
          <w:kern w:val="2"/>
          <w:sz w:val="32"/>
          <w:szCs w:val="32"/>
          <w:highlight w:val="none"/>
          <w:lang w:val="en-US" w:eastAsia="zh-CN" w:bidi="ar-SA"/>
        </w:rPr>
        <w:t>附件</w:t>
      </w:r>
    </w:p>
    <w:p w14:paraId="7A57C569">
      <w:pPr>
        <w:pageBreakBefore w:val="0"/>
        <w:widowControl/>
        <w:numPr>
          <w:ilvl w:val="1"/>
          <w:numId w:val="0"/>
        </w:numPr>
        <w:tabs>
          <w:tab w:val="left" w:pos="540"/>
        </w:tabs>
        <w:kinsoku/>
        <w:wordWrap/>
        <w:overflowPunct/>
        <w:topLinePunct w:val="0"/>
        <w:autoSpaceDE/>
        <w:autoSpaceDN/>
        <w:bidi w:val="0"/>
        <w:adjustRightInd/>
        <w:snapToGrid/>
        <w:spacing w:line="600" w:lineRule="exact"/>
        <w:ind w:left="0" w:leftChars="0" w:firstLine="640" w:firstLineChars="0"/>
        <w:textAlignment w:val="auto"/>
        <w:outlineLvl w:val="9"/>
        <w:rPr>
          <w:rFonts w:hint="default" w:ascii="仿宋" w:hAnsi="仿宋" w:eastAsia="仿宋" w:cs="仿宋"/>
          <w:b/>
          <w:bCs w:val="0"/>
          <w:color w:val="auto"/>
          <w:spacing w:val="0"/>
          <w:kern w:val="2"/>
          <w:sz w:val="32"/>
          <w:szCs w:val="32"/>
          <w:highlight w:val="none"/>
          <w:lang w:val="en-US" w:eastAsia="zh-CN" w:bidi="ar-SA"/>
        </w:rPr>
      </w:pPr>
      <w:r>
        <w:rPr>
          <w:rFonts w:hint="eastAsia" w:ascii="仿宋" w:hAnsi="仿宋" w:eastAsia="仿宋" w:cs="仿宋"/>
          <w:b/>
          <w:bCs w:val="0"/>
          <w:color w:val="auto"/>
          <w:spacing w:val="0"/>
          <w:kern w:val="2"/>
          <w:sz w:val="32"/>
          <w:szCs w:val="32"/>
          <w:highlight w:val="none"/>
          <w:lang w:val="en-US" w:eastAsia="zh-CN" w:bidi="ar-SA"/>
        </w:rPr>
        <w:t>第二次征求意见情况及采纳情况</w:t>
      </w:r>
    </w:p>
    <w:p w14:paraId="0B29600F">
      <w:pPr>
        <w:keepNext w:val="0"/>
        <w:keepLines w:val="0"/>
        <w:pageBreakBefore w:val="0"/>
        <w:widowControl/>
        <w:kinsoku/>
        <w:wordWrap/>
        <w:overflowPunct w:val="0"/>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仿宋_GB2312"/>
          <w:color w:val="auto"/>
          <w:spacing w:val="0"/>
          <w:sz w:val="32"/>
          <w:szCs w:val="32"/>
          <w:highlight w:val="none"/>
          <w:lang w:val="en-US" w:eastAsia="zh-CN"/>
        </w:rPr>
      </w:pPr>
    </w:p>
    <w:sectPr>
      <w:headerReference r:id="rId11" w:type="first"/>
      <w:footerReference r:id="rId13" w:type="first"/>
      <w:headerReference r:id="rId10" w:type="default"/>
      <w:footerReference r:id="rId12" w:type="default"/>
      <w:pgSz w:w="11905" w:h="16838"/>
      <w:pgMar w:top="1587" w:right="1587" w:bottom="1474" w:left="1587" w:header="851" w:footer="567" w:gutter="0"/>
      <w:pgBorders w:offsetFrom="page">
        <w:top w:val="none" w:sz="0" w:space="0"/>
        <w:left w:val="none" w:sz="0" w:space="0"/>
        <w:bottom w:val="none" w:sz="0" w:space="0"/>
        <w:right w:val="none" w:sz="0" w:space="0"/>
      </w:pgBorders>
      <w:pgNumType w:fmt="decimal" w:start="1"/>
      <w:cols w:space="0" w:num="1"/>
      <w:rtlGutter w:val="0"/>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DF3C9A-0A59-43AF-BCDD-C28535C5B62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1B7FABF7-92D9-4FC6-80A4-ED50EE7D8CE4}"/>
  </w:font>
  <w:font w:name="方正楷体_GB2312">
    <w:altName w:val="楷体"/>
    <w:panose1 w:val="02000000000000000000"/>
    <w:charset w:val="86"/>
    <w:family w:val="auto"/>
    <w:pitch w:val="default"/>
    <w:sig w:usb0="00000000" w:usb1="00000000" w:usb2="00000012" w:usb3="00000000" w:csb0="00040001" w:csb1="00000000"/>
    <w:embedRegular r:id="rId3" w:fontKey="{6E8BC939-E3D4-4F7B-87E1-9F5CEFABD39A}"/>
  </w:font>
  <w:font w:name="楷体">
    <w:panose1 w:val="02010609060101010101"/>
    <w:charset w:val="86"/>
    <w:family w:val="auto"/>
    <w:pitch w:val="default"/>
    <w:sig w:usb0="800002BF" w:usb1="38CF7CFA" w:usb2="00000016" w:usb3="00000000" w:csb0="00040001" w:csb1="00000000"/>
    <w:embedRegular r:id="rId4" w:fontKey="{068402EF-83DF-4192-B70C-E609B8A949B7}"/>
  </w:font>
  <w:font w:name="仿宋_GB2312">
    <w:panose1 w:val="02010609030101010101"/>
    <w:charset w:val="86"/>
    <w:family w:val="auto"/>
    <w:pitch w:val="default"/>
    <w:sig w:usb0="00000001" w:usb1="080E0000" w:usb2="00000000" w:usb3="00000000" w:csb0="00040000" w:csb1="00000000"/>
    <w:embedRegular r:id="rId5" w:fontKey="{8CF3034D-D64B-42C7-9364-2F491CCD5E2F}"/>
  </w:font>
  <w:font w:name="楷体_GB2312">
    <w:altName w:val="楷体"/>
    <w:panose1 w:val="02010609030101010101"/>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embedRegular r:id="rId6" w:fontKey="{ABA071C5-2C56-4EA7-86C8-6F960BD74C40}"/>
  </w:font>
  <w:font w:name="微软雅黑">
    <w:panose1 w:val="020B0503020204020204"/>
    <w:charset w:val="86"/>
    <w:family w:val="swiss"/>
    <w:pitch w:val="default"/>
    <w:sig w:usb0="80000287" w:usb1="2ACF3C50" w:usb2="00000016" w:usb3="00000000" w:csb0="0004001F" w:csb1="00000000"/>
  </w:font>
  <w:font w:name="汉仪雅酷黑简">
    <w:altName w:val="黑体"/>
    <w:panose1 w:val="00020600040101010101"/>
    <w:charset w:val="86"/>
    <w:family w:val="auto"/>
    <w:pitch w:val="default"/>
    <w:sig w:usb0="00000000" w:usb1="00000000" w:usb2="00000016" w:usb3="00000000" w:csb0="0004009F" w:csb1="DFD7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9ED1A">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0BB36">
    <w:pPr>
      <w:pStyle w:val="29"/>
      <w:overflowPunct w:val="0"/>
      <w:jc w:val="both"/>
      <w:rPr>
        <w:rFonts w:eastAsia="仿宋_GB2312"/>
      </w:rPr>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10DE780C">
                          <w:pPr>
                            <w:pStyle w:val="29"/>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II</w:t>
                          </w:r>
                          <w:r>
                            <w:rPr>
                              <w:sz w:val="24"/>
                              <w:szCs w:val="24"/>
                            </w:rPr>
                            <w:fldChar w:fldCharType="end"/>
                          </w:r>
                          <w:r>
                            <w:t xml:space="preserve"> —</w:t>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asDMHTAQAAngMAAA4AAABkcnMvZTJvRG9jLnhtbK1TzY7TMBC+I/EO&#10;lu80aUFQqqYrpGoREoKVFh7AdZzGkv804zYpDwBvwIkLd56rz7FjJ+mi3cse9uLMeOxvvu/zZH3V&#10;W8OOClB7V/H5rORMOelr7fYV//7t+tWSM4zC1cJ4pyp+UsivNi9frLuwUgvfelMrYATicNWFircx&#10;hlVRoGyVFTjzQTkqNh6siJTCvqhBdIRuTbEoy7dF56EO4KVCpN3tUOQjIjwF0DeNlmrr5cEqFwdU&#10;UEZEkoStDsg3mW3TKBm/Ng2qyEzFSWnMKzWheJfWYrMWqz2I0Go5UhBPofBAkxXaUdML1FZEwQ6g&#10;H0FZLcGjb+JMelsMQrIjpGJePvDmthVBZS1kNYaL6fh8sPLL8QaYriv+pnz/jjMnLL35+fev859/&#10;578/2evkUBdwRQdvww2MGVKY5PYN2PQlIazPrp4urqo+Mkmb8+ViuSzJcEm1KSGc4v56AIwflbcs&#10;BRUHerbspjh+xjgcnY6kbsal1flrbcxQTTtFojkQS1Hsd/3IdufrE6mkoSfw1sMPzjp68oo7mnDO&#10;zCdHjqbpmAKYgt0UCCfpYsUjZ4cAet/mSUo0MHw4RKKSeabGQ7eRDz1bVjqOWJqL//N86v632t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FasDMHTAQAAngMAAA4AAAAAAAAAAQAgAAAAHwEA&#10;AGRycy9lMm9Eb2MueG1sUEsFBgAAAAAGAAYAWQEAAGQFAAAAAA==&#10;">
              <v:fill on="f" focussize="0,0"/>
              <v:stroke on="f"/>
              <v:imagedata o:title=""/>
              <o:lock v:ext="edit" aspectratio="f"/>
              <v:textbox inset="0mm,0mm,0mm,0mm" style="mso-fit-shape-to-text:t;">
                <w:txbxContent>
                  <w:p w14:paraId="10DE780C">
                    <w:pPr>
                      <w:pStyle w:val="29"/>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II</w:t>
                    </w:r>
                    <w:r>
                      <w:rPr>
                        <w:sz w:val="24"/>
                        <w:szCs w:val="24"/>
                      </w:rPr>
                      <w:fldChar w:fldCharType="end"/>
                    </w:r>
                    <w:r>
                      <w:t xml:space="preserve"> —</w:t>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2A2EF">
    <w:pPr>
      <w:overflowPunct w:val="0"/>
      <w:jc w:val="both"/>
      <w:rPr>
        <w:rFonts w:eastAsia="仿宋_GB2312"/>
      </w:rPr>
    </w:pPr>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49BC79CD">
                          <w:pPr>
                            <w:pStyle w:val="29"/>
                            <w:overflowPunct w:val="0"/>
                            <w:jc w:val="both"/>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I</w:t>
                          </w:r>
                          <w:r>
                            <w:rPr>
                              <w:sz w:val="24"/>
                              <w:szCs w:val="24"/>
                            </w:rPr>
                            <w:fldChar w:fldCharType="end"/>
                          </w:r>
                          <w:r>
                            <w:t xml:space="preserve"> —</w:t>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49BC79CD">
                    <w:pPr>
                      <w:pStyle w:val="29"/>
                      <w:overflowPunct w:val="0"/>
                      <w:jc w:val="both"/>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I</w:t>
                    </w:r>
                    <w:r>
                      <w:rPr>
                        <w:sz w:val="24"/>
                        <w:szCs w:val="24"/>
                      </w:rPr>
                      <w:fldChar w:fldCharType="end"/>
                    </w:r>
                    <w:r>
                      <w:t xml:space="preserve"> —</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75487">
    <w:pPr>
      <w:pStyle w:val="29"/>
      <w:overflowPunct w:val="0"/>
      <w:jc w:val="both"/>
      <w:rPr>
        <w:rFonts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E2811">
    <w:pPr>
      <w:overflowPunct w:val="0"/>
      <w:jc w:val="both"/>
      <w:rPr>
        <w:rFonts w:eastAsia="仿宋_GB23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DF5CF">
    <w:pPr>
      <w:keepNext w:val="0"/>
      <w:keepLines w:val="0"/>
      <w:pageBreakBefore w:val="0"/>
      <w:widowControl/>
      <w:pBdr>
        <w:bottom w:val="single" w:color="auto" w:sz="4" w:space="0"/>
      </w:pBdr>
      <w:kinsoku w:val="0"/>
      <w:wordWrap/>
      <w:overflowPunct/>
      <w:topLinePunct w:val="0"/>
      <w:autoSpaceDE w:val="0"/>
      <w:autoSpaceDN w:val="0"/>
      <w:bidi w:val="0"/>
      <w:adjustRightInd w:val="0"/>
      <w:snapToGrid w:val="0"/>
      <w:spacing w:before="91" w:line="224" w:lineRule="auto"/>
      <w:jc w:val="center"/>
      <w:textAlignment w:val="baseline"/>
      <w:rPr>
        <w:rFonts w:hint="eastAsia" w:cs="仿宋"/>
        <w:bCs/>
        <w:kern w:val="2"/>
        <w:sz w:val="24"/>
        <w:szCs w:val="24"/>
        <w:lang w:val="en-US" w:eastAsia="zh-CN" w:bidi="ar-SA"/>
      </w:rPr>
    </w:pPr>
    <w:r>
      <w:rPr>
        <w:rFonts w:hint="eastAsia" w:cs="仿宋"/>
        <w:bCs/>
        <w:kern w:val="2"/>
        <w:sz w:val="24"/>
        <w:szCs w:val="24"/>
        <w:lang w:val="en-US" w:eastAsia="zh-CN" w:bidi="ar-SA"/>
      </w:rPr>
      <w:t>清远市清城区建筑垃圾污染环境防治工作规划（2024-2030年）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DDE1F">
    <w:pPr>
      <w:keepNext w:val="0"/>
      <w:keepLines w:val="0"/>
      <w:pageBreakBefore w:val="0"/>
      <w:widowControl/>
      <w:pBdr>
        <w:bottom w:val="none" w:color="auto" w:sz="0" w:space="0"/>
      </w:pBdr>
      <w:kinsoku w:val="0"/>
      <w:wordWrap/>
      <w:overflowPunct w:val="0"/>
      <w:topLinePunct w:val="0"/>
      <w:autoSpaceDE w:val="0"/>
      <w:autoSpaceDN w:val="0"/>
      <w:bidi w:val="0"/>
      <w:adjustRightInd w:val="0"/>
      <w:snapToGrid w:val="0"/>
      <w:spacing w:before="91" w:line="224" w:lineRule="auto"/>
      <w:jc w:val="both"/>
      <w:textAlignment w:val="baseline"/>
      <w:rPr>
        <w:rFonts w:eastAsia="仿宋_GB2312"/>
        <w:sz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19D37">
    <w:pPr>
      <w:keepNext w:val="0"/>
      <w:keepLines w:val="0"/>
      <w:pageBreakBefore w:val="0"/>
      <w:widowControl/>
      <w:pBdr>
        <w:bottom w:val="single" w:color="auto" w:sz="4" w:space="0"/>
      </w:pBdr>
      <w:kinsoku w:val="0"/>
      <w:wordWrap/>
      <w:overflowPunct/>
      <w:topLinePunct w:val="0"/>
      <w:autoSpaceDE w:val="0"/>
      <w:autoSpaceDN w:val="0"/>
      <w:bidi w:val="0"/>
      <w:adjustRightInd w:val="0"/>
      <w:snapToGrid w:val="0"/>
      <w:spacing w:before="91" w:line="224" w:lineRule="auto"/>
      <w:jc w:val="center"/>
      <w:textAlignment w:val="baseline"/>
      <w:rPr>
        <w:rFonts w:hint="eastAsia" w:cs="仿宋"/>
        <w:bCs/>
        <w:kern w:val="2"/>
        <w:sz w:val="24"/>
        <w:szCs w:val="24"/>
        <w:lang w:val="en-US" w:eastAsia="zh-CN" w:bidi="ar-SA"/>
      </w:rPr>
    </w:pPr>
    <w:r>
      <w:rPr>
        <w:rFonts w:hint="eastAsia" w:cs="仿宋"/>
        <w:bCs/>
        <w:kern w:val="2"/>
        <w:sz w:val="24"/>
        <w:szCs w:val="24"/>
        <w:lang w:val="en-US" w:eastAsia="zh-CN" w:bidi="ar-SA"/>
      </w:rPr>
      <w:t>清远市清城区建筑垃圾污染环境防治工作规划（2024-2030年）</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67D68">
    <w:pPr>
      <w:keepNext w:val="0"/>
      <w:keepLines w:val="0"/>
      <w:pageBreakBefore w:val="0"/>
      <w:widowControl/>
      <w:pBdr>
        <w:bottom w:val="none" w:color="auto" w:sz="0" w:space="0"/>
      </w:pBdr>
      <w:kinsoku w:val="0"/>
      <w:wordWrap/>
      <w:overflowPunct w:val="0"/>
      <w:topLinePunct w:val="0"/>
      <w:autoSpaceDE w:val="0"/>
      <w:autoSpaceDN w:val="0"/>
      <w:bidi w:val="0"/>
      <w:adjustRightInd w:val="0"/>
      <w:snapToGrid w:val="0"/>
      <w:spacing w:before="91" w:line="224" w:lineRule="auto"/>
      <w:jc w:val="both"/>
      <w:textAlignment w:val="baseline"/>
      <w:rPr>
        <w:rFonts w:eastAsia="仿宋_GB2312"/>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表%1"/>
      <w:lvlJc w:val="left"/>
      <w:pPr>
        <w:ind w:left="0" w:firstLine="420"/>
      </w:pPr>
      <w:rPr>
        <w:rFonts w:hint="default"/>
      </w:rPr>
    </w:lvl>
  </w:abstractNum>
  <w:abstractNum w:abstractNumId="1">
    <w:nsid w:val="00000001"/>
    <w:multiLevelType w:val="multilevel"/>
    <w:tmpl w:val="00000001"/>
    <w:lvl w:ilvl="0" w:tentative="0">
      <w:start w:val="1"/>
      <w:numFmt w:val="decimal"/>
      <w:pStyle w:val="173"/>
      <w:lvlText w:val="(%1)"/>
      <w:lvlJc w:val="left"/>
      <w:pPr>
        <w:tabs>
          <w:tab w:val="left" w:pos="862"/>
        </w:tabs>
        <w:ind w:left="862" w:hanging="403"/>
      </w:pPr>
      <w:rPr>
        <w:rFonts w:hint="eastAsia"/>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b w:val="0"/>
        <w:bCs w:val="0"/>
        <w:sz w:val="24"/>
        <w:szCs w:val="24"/>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00000002"/>
    <w:multiLevelType w:val="multilevel"/>
    <w:tmpl w:val="00000002"/>
    <w:lvl w:ilvl="0" w:tentative="0">
      <w:start w:val="1"/>
      <w:numFmt w:val="decimal"/>
      <w:suff w:val="space"/>
      <w:lvlText w:val="第%1章"/>
      <w:lvlJc w:val="center"/>
      <w:pPr>
        <w:ind w:left="0" w:firstLine="0"/>
      </w:pPr>
      <w:rPr>
        <w:rFonts w:hint="eastAsia" w:ascii="Times New Roman" w:hAnsi="Times New Roman" w:cs="Times New Roman"/>
        <w:b w:val="0"/>
        <w:bCs w:val="0"/>
        <w:i w:val="0"/>
        <w:iCs w:val="0"/>
        <w:caps w:val="0"/>
        <w:smallCaps w:val="0"/>
        <w:outline w:val="0"/>
        <w:emboss w:val="0"/>
        <w:imprint w:val="0"/>
        <w:vanish w:val="0"/>
        <w:spacing w:val="0"/>
        <w:position w:val="0"/>
        <w:u w:val="none"/>
        <w:vertAlign w:val="baseline"/>
        <w14:shadow w14:blurRad="0" w14:dist="0" w14:dir="0" w14:sx="100000" w14:sy="100000" w14:kx="0" w14:ky="0" w14:algn="none">
          <w14:srgbClr w14:val="808080"/>
        </w14:shadow>
      </w:rPr>
    </w:lvl>
    <w:lvl w:ilvl="1" w:tentative="0">
      <w:start w:val="1"/>
      <w:numFmt w:val="decimal"/>
      <w:suff w:val="space"/>
      <w:lvlText w:val="%1.%2"/>
      <w:lvlJc w:val="left"/>
      <w:pPr>
        <w:ind w:left="0" w:firstLine="0"/>
      </w:pPr>
      <w:rPr>
        <w:rFonts w:hint="default" w:ascii="Times New Roman" w:hAnsi="Times New Roman" w:eastAsia="黑体"/>
        <w:b w:val="0"/>
        <w:i w:val="0"/>
        <w:sz w:val="30"/>
      </w:rPr>
    </w:lvl>
    <w:lvl w:ilvl="2" w:tentative="0">
      <w:start w:val="1"/>
      <w:numFmt w:val="decimal"/>
      <w:suff w:val="space"/>
      <w:lvlText w:val="%1.%2.%3"/>
      <w:lvlJc w:val="left"/>
      <w:pPr>
        <w:ind w:left="0" w:firstLine="0"/>
      </w:pPr>
      <w:rPr>
        <w:rFonts w:hint="default" w:ascii="Times New Roman" w:hAnsi="Times New Roman" w:eastAsia="黑体"/>
        <w:b w:val="0"/>
        <w:i w:val="0"/>
        <w:sz w:val="28"/>
      </w:rPr>
    </w:lvl>
    <w:lvl w:ilvl="3" w:tentative="0">
      <w:start w:val="1"/>
      <w:numFmt w:val="decimal"/>
      <w:pStyle w:val="243"/>
      <w:suff w:val="nothing"/>
      <w:lvlText w:val="（%4）"/>
      <w:lvlJc w:val="left"/>
      <w:pPr>
        <w:ind w:left="454" w:firstLine="397"/>
      </w:pPr>
      <w:rPr>
        <w:rFonts w:hint="default" w:ascii="Times New Roman" w:hAnsi="Times New Roman" w:eastAsia="方正仿宋_GB2312"/>
        <w:b w:val="0"/>
        <w:i w:val="0"/>
        <w:sz w:val="24"/>
      </w:rPr>
    </w:lvl>
    <w:lvl w:ilvl="4" w:tentative="0">
      <w:start w:val="1"/>
      <w:numFmt w:val="decimal"/>
      <w:suff w:val="nothing"/>
      <w:lvlText w:val="%5）"/>
      <w:lvlJc w:val="left"/>
      <w:pPr>
        <w:ind w:left="-27" w:firstLine="737"/>
      </w:pPr>
      <w:rPr>
        <w:rFonts w:hint="default" w:ascii="Times New Roman" w:hAnsi="Times New Roman" w:eastAsia="方正仿宋_GB2312"/>
        <w:b w:val="0"/>
        <w:i w:val="0"/>
        <w:sz w:val="24"/>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00000003"/>
    <w:multiLevelType w:val="multilevel"/>
    <w:tmpl w:val="00000003"/>
    <w:lvl w:ilvl="0" w:tentative="0">
      <w:start w:val="1"/>
      <w:numFmt w:val="chineseCounting"/>
      <w:pStyle w:val="2"/>
      <w:suff w:val="nothing"/>
      <w:lvlText w:val="%1、"/>
      <w:lvlJc w:val="left"/>
      <w:pPr>
        <w:tabs>
          <w:tab w:val="left" w:pos="0"/>
        </w:tabs>
        <w:ind w:left="420" w:leftChars="0" w:hanging="380" w:firstLineChars="0"/>
      </w:pPr>
      <w:rPr>
        <w:rFonts w:hint="eastAsia" w:eastAsia="黑体"/>
        <w:sz w:val="32"/>
        <w:szCs w:val="32"/>
      </w:rPr>
    </w:lvl>
    <w:lvl w:ilvl="1" w:tentative="0">
      <w:start w:val="1"/>
      <w:numFmt w:val="chineseCounting"/>
      <w:pStyle w:val="3"/>
      <w:suff w:val="nothing"/>
      <w:lvlText w:val="（%2）"/>
      <w:lvlJc w:val="left"/>
      <w:pPr>
        <w:ind w:left="0" w:firstLine="20"/>
      </w:pPr>
      <w:rPr>
        <w:rFonts w:hint="eastAsia" w:eastAsia="方正楷体_GB2312"/>
        <w:sz w:val="32"/>
        <w:szCs w:val="32"/>
      </w:rPr>
    </w:lvl>
    <w:lvl w:ilvl="2" w:tentative="0">
      <w:start w:val="1"/>
      <w:numFmt w:val="decimal"/>
      <w:pStyle w:val="4"/>
      <w:suff w:val="nothing"/>
      <w:lvlText w:val="%3．"/>
      <w:lvlJc w:val="left"/>
      <w:pPr>
        <w:ind w:left="0" w:firstLine="20"/>
      </w:pPr>
      <w:rPr>
        <w:rFonts w:hint="eastAsia" w:eastAsia="仿宋_GB2312"/>
        <w:b/>
        <w:bCs/>
        <w:sz w:val="32"/>
        <w:szCs w:val="32"/>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4">
    <w:nsid w:val="00000004"/>
    <w:multiLevelType w:val="multilevel"/>
    <w:tmpl w:val="00000004"/>
    <w:lvl w:ilvl="0" w:tentative="0">
      <w:start w:val="1"/>
      <w:numFmt w:val="chineseCountingThousand"/>
      <w:pStyle w:val="285"/>
      <w:lvlText w:val="第%1条"/>
      <w:lvlJc w:val="left"/>
      <w:pPr>
        <w:ind w:left="980" w:hanging="420"/>
      </w:pPr>
      <w:rPr>
        <w:rFonts w:hint="eastAsia" w:ascii="黑体" w:hAnsi="黑体" w:eastAsia="黑体"/>
        <w:b w:val="0"/>
        <w:lang w:val="en-US"/>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num w:numId="1">
    <w:abstractNumId w:val="3"/>
  </w:num>
  <w:num w:numId="2">
    <w:abstractNumId w:val="1"/>
  </w:num>
  <w:num w:numId="3">
    <w:abstractNumId w:val="2"/>
  </w:num>
  <w:num w:numId="4">
    <w:abstractNumId w:val="4"/>
  </w:num>
  <w:num w:numId="5">
    <w:abstractNumId w:val="3"/>
    <w:lvlOverride w:ilvl="0">
      <w:lvl w:ilvl="0" w:tentative="1">
        <w:start w:val="1"/>
        <w:numFmt w:val="decimal"/>
        <w:suff w:val="space"/>
        <w:lvlText w:val="第%1章"/>
        <w:lvlJc w:val="left"/>
        <w:pPr>
          <w:ind w:left="0" w:firstLine="0"/>
        </w:pPr>
        <w:rPr>
          <w:rFonts w:ascii="Times New Roman" w:hAnsi="Times New Roman" w:eastAsia="宋体"/>
          <w:sz w:val="44"/>
        </w:rPr>
      </w:lvl>
    </w:lvlOverride>
    <w:lvlOverride w:ilvl="1">
      <w:lvl w:ilvl="1" w:tentative="1">
        <w:start w:val="1"/>
        <w:numFmt w:val="decimal"/>
        <w:pStyle w:val="288"/>
        <w:suff w:val="space"/>
        <w:lvlText w:val="%1.%2"/>
        <w:lvlJc w:val="left"/>
        <w:pPr>
          <w:ind w:left="0" w:firstLine="0"/>
        </w:pPr>
        <w:rPr>
          <w:rFonts w:hint="eastAsia"/>
        </w:rPr>
      </w:lvl>
    </w:lvlOverride>
    <w:lvlOverride w:ilvl="2">
      <w:lvl w:ilvl="2" w:tentative="1">
        <w:start w:val="1"/>
        <w:numFmt w:val="decimal"/>
        <w:pStyle w:val="287"/>
        <w:suff w:val="space"/>
        <w:lvlText w:val="%1.%2.%3"/>
        <w:lvlJc w:val="left"/>
        <w:pPr>
          <w:ind w:left="0" w:firstLine="0"/>
        </w:pPr>
        <w:rPr>
          <w:rFonts w:hint="eastAsia"/>
        </w:rPr>
      </w:lvl>
    </w:lvlOverride>
    <w:lvlOverride w:ilvl="3">
      <w:lvl w:ilvl="3" w:tentative="1">
        <w:start w:val="1"/>
        <w:numFmt w:val="decimal"/>
        <w:suff w:val="space"/>
        <w:lvlText w:val="%1.%2.%3.%4"/>
        <w:lvlJc w:val="left"/>
        <w:pPr>
          <w:ind w:left="0" w:firstLine="0"/>
        </w:pPr>
        <w:rPr>
          <w:rFonts w:hint="eastAsia"/>
        </w:rPr>
      </w:lvl>
    </w:lvlOverride>
    <w:lvlOverride w:ilvl="4">
      <w:lvl w:ilvl="4" w:tentative="1">
        <w:start w:val="1"/>
        <w:numFmt w:val="decimal"/>
        <w:suff w:val="space"/>
        <w:lvlText w:val="表%1-%5"/>
        <w:lvlJc w:val="left"/>
        <w:pPr>
          <w:ind w:left="0" w:firstLine="0"/>
        </w:pPr>
        <w:rPr>
          <w:rFonts w:hint="eastAsia" w:ascii="黑体" w:hAnsi="黑体" w:eastAsia="黑体"/>
          <w:sz w:val="24"/>
        </w:rPr>
      </w:lvl>
    </w:lvlOverride>
    <w:lvlOverride w:ilvl="5">
      <w:lvl w:ilvl="5" w:tentative="1">
        <w:start w:val="1"/>
        <w:numFmt w:val="decimal"/>
        <w:suff w:val="space"/>
        <w:lvlText w:val="图%1-%6"/>
        <w:lvlJc w:val="left"/>
        <w:pPr>
          <w:ind w:left="0" w:firstLine="0"/>
        </w:pPr>
        <w:rPr>
          <w:rFonts w:hint="eastAsia" w:ascii="黑体" w:hAnsi="黑体" w:eastAsia="黑体"/>
          <w:sz w:val="24"/>
        </w:rPr>
      </w:lvl>
    </w:lvlOverride>
    <w:lvlOverride w:ilvl="6">
      <w:lvl w:ilvl="6" w:tentative="1">
        <w:start w:val="1"/>
        <w:numFmt w:val="decimal"/>
        <w:lvlText w:val="%1.%2.%3.%4.%5.%6.%7"/>
        <w:lvlJc w:val="left"/>
        <w:pPr>
          <w:ind w:left="0" w:firstLine="0"/>
        </w:pPr>
        <w:rPr>
          <w:rFonts w:hint="eastAsia"/>
        </w:rPr>
      </w:lvl>
    </w:lvlOverride>
    <w:lvlOverride w:ilvl="7">
      <w:lvl w:ilvl="7" w:tentative="1">
        <w:start w:val="1"/>
        <w:numFmt w:val="decimal"/>
        <w:lvlText w:val="%1.%2.%3.%4.%5.%6.%7.%8"/>
        <w:lvlJc w:val="left"/>
        <w:pPr>
          <w:ind w:left="0" w:firstLine="0"/>
        </w:pPr>
        <w:rPr>
          <w:rFonts w:hint="eastAsia"/>
        </w:rPr>
      </w:lvl>
    </w:lvlOverride>
    <w:lvlOverride w:ilvl="8">
      <w:lvl w:ilvl="8" w:tentative="1">
        <w:start w:val="1"/>
        <w:numFmt w:val="decimal"/>
        <w:lvlText w:val="%1.%2.%3.%4.%5.%6.%7.%8.%9"/>
        <w:lvlJc w:val="left"/>
        <w:pPr>
          <w:ind w:left="0" w:firstLine="0"/>
        </w:pPr>
        <w:rPr>
          <w:rFonts w:hint="eastAsia"/>
        </w:rPr>
      </w:lvl>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64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0ZWFjNjk0NjNlNmU4YjAzY2I5YjA5NmZjOTJhZTIifQ=="/>
  </w:docVars>
  <w:rsids>
    <w:rsidRoot w:val="00000000"/>
    <w:rsid w:val="00AD66F2"/>
    <w:rsid w:val="014956D2"/>
    <w:rsid w:val="016043AA"/>
    <w:rsid w:val="016F54A3"/>
    <w:rsid w:val="01AE15BA"/>
    <w:rsid w:val="02C352FB"/>
    <w:rsid w:val="02DE1577"/>
    <w:rsid w:val="02ED5742"/>
    <w:rsid w:val="04576D3E"/>
    <w:rsid w:val="04723211"/>
    <w:rsid w:val="05476D0D"/>
    <w:rsid w:val="070330CB"/>
    <w:rsid w:val="07CF7A49"/>
    <w:rsid w:val="08B66FA6"/>
    <w:rsid w:val="08DC6CFC"/>
    <w:rsid w:val="09300B06"/>
    <w:rsid w:val="09371FAF"/>
    <w:rsid w:val="0B324867"/>
    <w:rsid w:val="0B850289"/>
    <w:rsid w:val="0C9B5F0E"/>
    <w:rsid w:val="0CBF326D"/>
    <w:rsid w:val="0EF03895"/>
    <w:rsid w:val="0F6C4862"/>
    <w:rsid w:val="0FD3668F"/>
    <w:rsid w:val="105B43FE"/>
    <w:rsid w:val="109715B5"/>
    <w:rsid w:val="10F66C40"/>
    <w:rsid w:val="110B3001"/>
    <w:rsid w:val="112E7CD6"/>
    <w:rsid w:val="11803E93"/>
    <w:rsid w:val="12600335"/>
    <w:rsid w:val="12745F08"/>
    <w:rsid w:val="12F379EF"/>
    <w:rsid w:val="130954C3"/>
    <w:rsid w:val="13A57D1C"/>
    <w:rsid w:val="14673A36"/>
    <w:rsid w:val="14696E6F"/>
    <w:rsid w:val="14F378D0"/>
    <w:rsid w:val="150A448F"/>
    <w:rsid w:val="1517701E"/>
    <w:rsid w:val="153F6FDE"/>
    <w:rsid w:val="161C0E88"/>
    <w:rsid w:val="16255E19"/>
    <w:rsid w:val="16266F23"/>
    <w:rsid w:val="16302552"/>
    <w:rsid w:val="169A17AF"/>
    <w:rsid w:val="179B0C23"/>
    <w:rsid w:val="17A71255"/>
    <w:rsid w:val="17BB753C"/>
    <w:rsid w:val="18942903"/>
    <w:rsid w:val="194F0DCE"/>
    <w:rsid w:val="1A3C2513"/>
    <w:rsid w:val="1A592C12"/>
    <w:rsid w:val="1A607EA5"/>
    <w:rsid w:val="1B9A4611"/>
    <w:rsid w:val="1D0936F0"/>
    <w:rsid w:val="1D0A025E"/>
    <w:rsid w:val="1D832FE1"/>
    <w:rsid w:val="1ECC5F4D"/>
    <w:rsid w:val="1F3F78E7"/>
    <w:rsid w:val="1FE43B48"/>
    <w:rsid w:val="2059673D"/>
    <w:rsid w:val="20A26F98"/>
    <w:rsid w:val="2185157A"/>
    <w:rsid w:val="222A38D4"/>
    <w:rsid w:val="223121E8"/>
    <w:rsid w:val="233F60BE"/>
    <w:rsid w:val="236D06C9"/>
    <w:rsid w:val="23EE2EF7"/>
    <w:rsid w:val="24360928"/>
    <w:rsid w:val="24383F19"/>
    <w:rsid w:val="24580066"/>
    <w:rsid w:val="25EC3BAF"/>
    <w:rsid w:val="27417775"/>
    <w:rsid w:val="27AC0900"/>
    <w:rsid w:val="28A16895"/>
    <w:rsid w:val="29D6041A"/>
    <w:rsid w:val="29E715F8"/>
    <w:rsid w:val="2A8706A7"/>
    <w:rsid w:val="2B2C339C"/>
    <w:rsid w:val="2BCF3C2A"/>
    <w:rsid w:val="2C1D2F6F"/>
    <w:rsid w:val="2C975BB3"/>
    <w:rsid w:val="2CD13C47"/>
    <w:rsid w:val="2CDE06F5"/>
    <w:rsid w:val="2D87226D"/>
    <w:rsid w:val="2D8F379E"/>
    <w:rsid w:val="2F3C7955"/>
    <w:rsid w:val="2FB074EF"/>
    <w:rsid w:val="2FC076F2"/>
    <w:rsid w:val="300D2158"/>
    <w:rsid w:val="31152A06"/>
    <w:rsid w:val="32615127"/>
    <w:rsid w:val="32A46BED"/>
    <w:rsid w:val="334031B7"/>
    <w:rsid w:val="348320CA"/>
    <w:rsid w:val="362B457A"/>
    <w:rsid w:val="365E4655"/>
    <w:rsid w:val="37812A6D"/>
    <w:rsid w:val="379B4F1C"/>
    <w:rsid w:val="37B54749"/>
    <w:rsid w:val="38705A4C"/>
    <w:rsid w:val="38EA38B7"/>
    <w:rsid w:val="38FF470D"/>
    <w:rsid w:val="3B626C13"/>
    <w:rsid w:val="3B9818CF"/>
    <w:rsid w:val="3C432323"/>
    <w:rsid w:val="3C491966"/>
    <w:rsid w:val="3CBE7BFC"/>
    <w:rsid w:val="3CC8128C"/>
    <w:rsid w:val="3CDF6A4E"/>
    <w:rsid w:val="3CEA007B"/>
    <w:rsid w:val="3CEF56AE"/>
    <w:rsid w:val="3E636D1E"/>
    <w:rsid w:val="3EA46696"/>
    <w:rsid w:val="3F711C4B"/>
    <w:rsid w:val="40EB2F89"/>
    <w:rsid w:val="410F4107"/>
    <w:rsid w:val="41C00655"/>
    <w:rsid w:val="41FD11C6"/>
    <w:rsid w:val="43247452"/>
    <w:rsid w:val="44695019"/>
    <w:rsid w:val="44F50EB6"/>
    <w:rsid w:val="45DA52A5"/>
    <w:rsid w:val="46EE31C4"/>
    <w:rsid w:val="48BD6449"/>
    <w:rsid w:val="4A657CF4"/>
    <w:rsid w:val="4CA66C9B"/>
    <w:rsid w:val="4D55188A"/>
    <w:rsid w:val="4D5B6484"/>
    <w:rsid w:val="4E021383"/>
    <w:rsid w:val="4EEC1603"/>
    <w:rsid w:val="4F8F7099"/>
    <w:rsid w:val="4FCE46CE"/>
    <w:rsid w:val="502C7DDD"/>
    <w:rsid w:val="50EF43D0"/>
    <w:rsid w:val="518A40F8"/>
    <w:rsid w:val="526E72E1"/>
    <w:rsid w:val="530E189B"/>
    <w:rsid w:val="55A43060"/>
    <w:rsid w:val="574F7976"/>
    <w:rsid w:val="57DC3A2F"/>
    <w:rsid w:val="581B5300"/>
    <w:rsid w:val="58AB65CE"/>
    <w:rsid w:val="591F781C"/>
    <w:rsid w:val="5AB72D62"/>
    <w:rsid w:val="5BD4728A"/>
    <w:rsid w:val="5C230AB1"/>
    <w:rsid w:val="5D3715D8"/>
    <w:rsid w:val="5ED40AFB"/>
    <w:rsid w:val="5F1974C0"/>
    <w:rsid w:val="5F2707CB"/>
    <w:rsid w:val="5F606B4D"/>
    <w:rsid w:val="5F6F144C"/>
    <w:rsid w:val="6025343B"/>
    <w:rsid w:val="604067D1"/>
    <w:rsid w:val="604F05EC"/>
    <w:rsid w:val="618943CD"/>
    <w:rsid w:val="61BD3CB2"/>
    <w:rsid w:val="62894AF0"/>
    <w:rsid w:val="62D20B87"/>
    <w:rsid w:val="63382BC6"/>
    <w:rsid w:val="63433407"/>
    <w:rsid w:val="635B6330"/>
    <w:rsid w:val="663D0A04"/>
    <w:rsid w:val="66B27FA8"/>
    <w:rsid w:val="677759B2"/>
    <w:rsid w:val="677E288A"/>
    <w:rsid w:val="686B53AD"/>
    <w:rsid w:val="68A0052D"/>
    <w:rsid w:val="691F4D05"/>
    <w:rsid w:val="692A3D9F"/>
    <w:rsid w:val="69C93109"/>
    <w:rsid w:val="69DC4C6A"/>
    <w:rsid w:val="6B3000C2"/>
    <w:rsid w:val="6B572E46"/>
    <w:rsid w:val="6BC74079"/>
    <w:rsid w:val="6C52309D"/>
    <w:rsid w:val="6CA4030D"/>
    <w:rsid w:val="6CB31BF3"/>
    <w:rsid w:val="6E27559A"/>
    <w:rsid w:val="6E5D38F8"/>
    <w:rsid w:val="6EC17221"/>
    <w:rsid w:val="6EE109CD"/>
    <w:rsid w:val="6F241291"/>
    <w:rsid w:val="704D68D4"/>
    <w:rsid w:val="706D5397"/>
    <w:rsid w:val="70F733DA"/>
    <w:rsid w:val="71574794"/>
    <w:rsid w:val="71BD7815"/>
    <w:rsid w:val="727A7B45"/>
    <w:rsid w:val="73FE17A2"/>
    <w:rsid w:val="73FFF345"/>
    <w:rsid w:val="752D60B7"/>
    <w:rsid w:val="7584710A"/>
    <w:rsid w:val="762168FC"/>
    <w:rsid w:val="763E6BCF"/>
    <w:rsid w:val="77C759BD"/>
    <w:rsid w:val="78A01098"/>
    <w:rsid w:val="78EC2C55"/>
    <w:rsid w:val="791074C8"/>
    <w:rsid w:val="79550A93"/>
    <w:rsid w:val="79CA15A2"/>
    <w:rsid w:val="7A1C5685"/>
    <w:rsid w:val="7AAC0993"/>
    <w:rsid w:val="7BD71926"/>
    <w:rsid w:val="7CB27799"/>
    <w:rsid w:val="7CC44933"/>
    <w:rsid w:val="7EA31DCB"/>
    <w:rsid w:val="7EAC609A"/>
    <w:rsid w:val="7EAE2A9F"/>
    <w:rsid w:val="7EEA03E7"/>
    <w:rsid w:val="7F431CAA"/>
    <w:rsid w:val="E6E782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99"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nhideWhenUsed="0" w:uiPriority="0"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pPr>
    <w:rPr>
      <w:rFonts w:ascii="Times New Roman" w:hAnsi="Times New Roman" w:eastAsia="仿宋" w:cs="Times New Roman"/>
      <w:kern w:val="2"/>
      <w:sz w:val="21"/>
      <w:szCs w:val="21"/>
      <w:lang w:val="en-US" w:eastAsia="zh-CN" w:bidi="ar-SA"/>
    </w:rPr>
  </w:style>
  <w:style w:type="paragraph" w:styleId="2">
    <w:name w:val="heading 1"/>
    <w:basedOn w:val="1"/>
    <w:next w:val="1"/>
    <w:link w:val="60"/>
    <w:qFormat/>
    <w:uiPriority w:val="0"/>
    <w:pPr>
      <w:keepNext/>
      <w:keepLines/>
      <w:pageBreakBefore/>
      <w:numPr>
        <w:ilvl w:val="0"/>
        <w:numId w:val="1"/>
      </w:numPr>
      <w:tabs>
        <w:tab w:val="left" w:pos="420"/>
      </w:tabs>
      <w:spacing w:line="600" w:lineRule="exact"/>
      <w:ind w:left="420" w:leftChars="0" w:hanging="380" w:firstLineChars="0"/>
      <w:jc w:val="left"/>
      <w:outlineLvl w:val="0"/>
    </w:pPr>
    <w:rPr>
      <w:rFonts w:ascii="Times New Roman" w:hAnsi="Times New Roman" w:eastAsia="黑体"/>
      <w:color w:val="000000"/>
      <w:kern w:val="0"/>
      <w:sz w:val="32"/>
      <w:szCs w:val="84"/>
    </w:rPr>
  </w:style>
  <w:style w:type="paragraph" w:styleId="3">
    <w:name w:val="heading 2"/>
    <w:basedOn w:val="1"/>
    <w:next w:val="1"/>
    <w:link w:val="61"/>
    <w:qFormat/>
    <w:uiPriority w:val="0"/>
    <w:pPr>
      <w:keepNext/>
      <w:keepLines/>
      <w:numPr>
        <w:ilvl w:val="1"/>
        <w:numId w:val="1"/>
      </w:numPr>
      <w:tabs>
        <w:tab w:val="left" w:pos="540"/>
      </w:tabs>
      <w:spacing w:line="600" w:lineRule="exact"/>
      <w:ind w:left="0" w:leftChars="0" w:firstLine="564" w:firstLineChars="200"/>
      <w:outlineLvl w:val="1"/>
    </w:pPr>
    <w:rPr>
      <w:rFonts w:ascii="楷体_GB2312" w:hAnsi="楷体_GB2312" w:eastAsia="楷体_GB2312"/>
      <w:b/>
      <w:color w:val="000000"/>
      <w:sz w:val="32"/>
      <w:szCs w:val="28"/>
    </w:rPr>
  </w:style>
  <w:style w:type="paragraph" w:styleId="4">
    <w:name w:val="heading 3"/>
    <w:basedOn w:val="1"/>
    <w:next w:val="1"/>
    <w:link w:val="62"/>
    <w:qFormat/>
    <w:uiPriority w:val="0"/>
    <w:pPr>
      <w:keepNext/>
      <w:keepLines/>
      <w:numPr>
        <w:ilvl w:val="2"/>
        <w:numId w:val="1"/>
      </w:numPr>
      <w:tabs>
        <w:tab w:val="left" w:pos="709"/>
      </w:tabs>
      <w:ind w:firstLine="20"/>
      <w:outlineLvl w:val="2"/>
    </w:pPr>
    <w:rPr>
      <w:rFonts w:eastAsia="黑体"/>
      <w:color w:val="000000"/>
      <w:sz w:val="24"/>
      <w:szCs w:val="30"/>
    </w:rPr>
  </w:style>
  <w:style w:type="paragraph" w:styleId="5">
    <w:name w:val="heading 4"/>
    <w:basedOn w:val="1"/>
    <w:next w:val="1"/>
    <w:link w:val="63"/>
    <w:qFormat/>
    <w:uiPriority w:val="0"/>
    <w:pPr>
      <w:keepNext/>
      <w:keepLines/>
      <w:numPr>
        <w:ilvl w:val="3"/>
        <w:numId w:val="1"/>
      </w:numPr>
      <w:spacing w:before="0" w:after="0"/>
      <w:ind w:firstLine="402"/>
      <w:outlineLvl w:val="3"/>
    </w:pPr>
    <w:rPr>
      <w:rFonts w:eastAsia="黑体"/>
      <w:color w:val="000000"/>
      <w:kern w:val="0"/>
      <w:sz w:val="24"/>
      <w:szCs w:val="24"/>
    </w:rPr>
  </w:style>
  <w:style w:type="paragraph" w:styleId="6">
    <w:name w:val="heading 5"/>
    <w:basedOn w:val="1"/>
    <w:next w:val="1"/>
    <w:link w:val="66"/>
    <w:qFormat/>
    <w:uiPriority w:val="0"/>
    <w:pPr>
      <w:keepNext/>
      <w:keepLines/>
      <w:numPr>
        <w:ilvl w:val="4"/>
        <w:numId w:val="1"/>
      </w:numPr>
      <w:spacing w:before="280" w:after="290" w:line="376" w:lineRule="auto"/>
      <w:ind w:firstLine="402"/>
      <w:outlineLvl w:val="4"/>
    </w:pPr>
    <w:rPr>
      <w:b/>
      <w:bCs/>
      <w:sz w:val="28"/>
      <w:szCs w:val="28"/>
    </w:rPr>
  </w:style>
  <w:style w:type="paragraph" w:styleId="7">
    <w:name w:val="heading 6"/>
    <w:basedOn w:val="1"/>
    <w:next w:val="1"/>
    <w:link w:val="67"/>
    <w:qFormat/>
    <w:uiPriority w:val="0"/>
    <w:pPr>
      <w:keepNext/>
      <w:keepLines/>
      <w:numPr>
        <w:ilvl w:val="5"/>
        <w:numId w:val="1"/>
      </w:numPr>
      <w:tabs>
        <w:tab w:val="left" w:pos="1152"/>
      </w:tabs>
      <w:adjustRightInd w:val="0"/>
      <w:snapToGrid w:val="0"/>
      <w:spacing w:before="156" w:beforeLines="50" w:after="64" w:line="320" w:lineRule="auto"/>
      <w:ind w:left="0" w:firstLine="402"/>
      <w:outlineLvl w:val="5"/>
    </w:pPr>
    <w:rPr>
      <w:rFonts w:ascii="Arial" w:hAnsi="Arial" w:eastAsia="黑体"/>
      <w:b/>
      <w:bCs/>
      <w:sz w:val="24"/>
      <w:szCs w:val="24"/>
    </w:rPr>
  </w:style>
  <w:style w:type="paragraph" w:styleId="8">
    <w:name w:val="heading 7"/>
    <w:basedOn w:val="1"/>
    <w:next w:val="1"/>
    <w:link w:val="68"/>
    <w:qFormat/>
    <w:uiPriority w:val="0"/>
    <w:pPr>
      <w:keepNext/>
      <w:keepLines/>
      <w:numPr>
        <w:ilvl w:val="6"/>
        <w:numId w:val="1"/>
      </w:numPr>
      <w:tabs>
        <w:tab w:val="left" w:pos="1296"/>
      </w:tabs>
      <w:adjustRightInd w:val="0"/>
      <w:snapToGrid w:val="0"/>
      <w:spacing w:before="156" w:beforeLines="50" w:after="64" w:line="320" w:lineRule="auto"/>
      <w:ind w:left="0" w:firstLine="402"/>
      <w:outlineLvl w:val="6"/>
    </w:pPr>
    <w:rPr>
      <w:b/>
      <w:bCs/>
      <w:sz w:val="24"/>
      <w:szCs w:val="24"/>
    </w:rPr>
  </w:style>
  <w:style w:type="paragraph" w:styleId="9">
    <w:name w:val="heading 8"/>
    <w:basedOn w:val="1"/>
    <w:next w:val="1"/>
    <w:link w:val="69"/>
    <w:qFormat/>
    <w:uiPriority w:val="0"/>
    <w:pPr>
      <w:keepNext/>
      <w:keepLines/>
      <w:numPr>
        <w:ilvl w:val="7"/>
        <w:numId w:val="1"/>
      </w:numPr>
      <w:tabs>
        <w:tab w:val="left" w:pos="1440"/>
      </w:tabs>
      <w:adjustRightInd w:val="0"/>
      <w:snapToGrid w:val="0"/>
      <w:spacing w:before="156" w:beforeLines="50" w:after="64" w:line="320" w:lineRule="auto"/>
      <w:ind w:left="0" w:firstLine="402"/>
      <w:outlineLvl w:val="7"/>
    </w:pPr>
    <w:rPr>
      <w:rFonts w:ascii="Arial" w:hAnsi="Arial" w:eastAsia="黑体"/>
      <w:sz w:val="24"/>
      <w:szCs w:val="24"/>
    </w:rPr>
  </w:style>
  <w:style w:type="paragraph" w:styleId="10">
    <w:name w:val="heading 9"/>
    <w:basedOn w:val="1"/>
    <w:next w:val="1"/>
    <w:link w:val="70"/>
    <w:qFormat/>
    <w:uiPriority w:val="0"/>
    <w:pPr>
      <w:keepNext/>
      <w:keepLines/>
      <w:numPr>
        <w:ilvl w:val="8"/>
        <w:numId w:val="1"/>
      </w:numPr>
      <w:tabs>
        <w:tab w:val="left" w:pos="1584"/>
      </w:tabs>
      <w:adjustRightInd w:val="0"/>
      <w:snapToGrid w:val="0"/>
      <w:spacing w:before="156" w:beforeLines="50" w:after="64" w:line="320" w:lineRule="auto"/>
      <w:ind w:left="0" w:firstLine="402"/>
      <w:outlineLvl w:val="8"/>
    </w:pPr>
    <w:rPr>
      <w:rFonts w:ascii="Arial" w:hAnsi="Arial" w:eastAsia="黑体"/>
    </w:rPr>
  </w:style>
  <w:style w:type="character" w:default="1" w:styleId="46">
    <w:name w:val="Default Paragraph Font"/>
    <w:qFormat/>
    <w:uiPriority w:val="0"/>
  </w:style>
  <w:style w:type="table" w:default="1" w:styleId="44">
    <w:name w:val="Normal Table"/>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rPr>
      <w:rFonts w:ascii="Calibri" w:hAnsi="Calibri" w:cs="Calibri"/>
    </w:rPr>
  </w:style>
  <w:style w:type="paragraph" w:styleId="12">
    <w:name w:val="Note Heading"/>
    <w:basedOn w:val="1"/>
    <w:next w:val="1"/>
    <w:qFormat/>
    <w:uiPriority w:val="0"/>
    <w:pPr>
      <w:ind w:firstLine="0"/>
      <w:jc w:val="center"/>
    </w:pPr>
  </w:style>
  <w:style w:type="paragraph" w:styleId="13">
    <w:name w:val="List Number"/>
    <w:basedOn w:val="1"/>
    <w:qFormat/>
    <w:uiPriority w:val="0"/>
    <w:pPr>
      <w:tabs>
        <w:tab w:val="left" w:pos="720"/>
      </w:tabs>
      <w:ind w:left="720" w:hanging="720"/>
    </w:pPr>
  </w:style>
  <w:style w:type="paragraph" w:styleId="14">
    <w:name w:val="Normal Indent"/>
    <w:basedOn w:val="1"/>
    <w:link w:val="71"/>
    <w:qFormat/>
    <w:uiPriority w:val="0"/>
    <w:rPr>
      <w:kern w:val="0"/>
      <w:sz w:val="20"/>
    </w:rPr>
  </w:style>
  <w:style w:type="paragraph" w:styleId="15">
    <w:name w:val="caption"/>
    <w:basedOn w:val="1"/>
    <w:next w:val="1"/>
    <w:qFormat/>
    <w:uiPriority w:val="0"/>
    <w:rPr>
      <w:rFonts w:eastAsia="方正仿宋_GB2312"/>
      <w:color w:val="000000"/>
      <w:sz w:val="24"/>
    </w:rPr>
  </w:style>
  <w:style w:type="paragraph" w:styleId="16">
    <w:name w:val="Document Map"/>
    <w:basedOn w:val="1"/>
    <w:link w:val="72"/>
    <w:qFormat/>
    <w:uiPriority w:val="0"/>
    <w:rPr>
      <w:rFonts w:ascii="宋体"/>
      <w:kern w:val="0"/>
      <w:sz w:val="18"/>
      <w:szCs w:val="18"/>
    </w:rPr>
  </w:style>
  <w:style w:type="paragraph" w:styleId="17">
    <w:name w:val="annotation text"/>
    <w:basedOn w:val="1"/>
    <w:link w:val="73"/>
    <w:qFormat/>
    <w:uiPriority w:val="0"/>
    <w:rPr>
      <w:kern w:val="0"/>
      <w:sz w:val="20"/>
    </w:rPr>
  </w:style>
  <w:style w:type="paragraph" w:styleId="18">
    <w:name w:val="Salutation"/>
    <w:basedOn w:val="1"/>
    <w:next w:val="1"/>
    <w:qFormat/>
    <w:uiPriority w:val="0"/>
    <w:pPr>
      <w:adjustRightInd w:val="0"/>
      <w:spacing w:before="0" w:after="0" w:line="312" w:lineRule="atLeast"/>
      <w:ind w:firstLine="0"/>
      <w:jc w:val="both"/>
      <w:textAlignment w:val="baseline"/>
    </w:pPr>
    <w:rPr>
      <w:kern w:val="0"/>
      <w:sz w:val="28"/>
      <w:szCs w:val="20"/>
    </w:rPr>
  </w:style>
  <w:style w:type="paragraph" w:styleId="19">
    <w:name w:val="Body Text"/>
    <w:basedOn w:val="1"/>
    <w:link w:val="74"/>
    <w:qFormat/>
    <w:uiPriority w:val="0"/>
    <w:pPr>
      <w:spacing w:after="120"/>
    </w:pPr>
    <w:rPr>
      <w:kern w:val="0"/>
      <w:sz w:val="20"/>
    </w:rPr>
  </w:style>
  <w:style w:type="paragraph" w:styleId="20">
    <w:name w:val="Body Text Indent"/>
    <w:basedOn w:val="1"/>
    <w:link w:val="75"/>
    <w:qFormat/>
    <w:uiPriority w:val="0"/>
    <w:pPr>
      <w:spacing w:after="120"/>
      <w:ind w:left="420" w:leftChars="200"/>
    </w:pPr>
    <w:rPr>
      <w:kern w:val="0"/>
      <w:sz w:val="20"/>
    </w:rPr>
  </w:style>
  <w:style w:type="paragraph" w:styleId="21">
    <w:name w:val="toc 5"/>
    <w:basedOn w:val="1"/>
    <w:next w:val="1"/>
    <w:qFormat/>
    <w:uiPriority w:val="0"/>
    <w:pPr>
      <w:ind w:left="1680" w:leftChars="800"/>
    </w:pPr>
    <w:rPr>
      <w:rFonts w:ascii="Calibri" w:hAnsi="Calibri" w:cs="Calibri"/>
    </w:rPr>
  </w:style>
  <w:style w:type="paragraph" w:styleId="22">
    <w:name w:val="toc 3"/>
    <w:basedOn w:val="1"/>
    <w:next w:val="1"/>
    <w:qFormat/>
    <w:uiPriority w:val="0"/>
    <w:pPr>
      <w:tabs>
        <w:tab w:val="left" w:pos="1050"/>
        <w:tab w:val="left" w:pos="1418"/>
        <w:tab w:val="right" w:leader="dot" w:pos="8302"/>
      </w:tabs>
      <w:spacing w:before="0" w:after="0" w:line="300" w:lineRule="auto"/>
      <w:ind w:firstLine="454"/>
      <w:jc w:val="right"/>
    </w:pPr>
    <w:rPr>
      <w:rFonts w:eastAsia="微软雅黑"/>
    </w:rPr>
  </w:style>
  <w:style w:type="paragraph" w:styleId="23">
    <w:name w:val="Plain Text"/>
    <w:basedOn w:val="1"/>
    <w:link w:val="76"/>
    <w:qFormat/>
    <w:uiPriority w:val="0"/>
    <w:rPr>
      <w:rFonts w:ascii="宋体" w:hAnsi="Courier New"/>
    </w:rPr>
  </w:style>
  <w:style w:type="paragraph" w:styleId="24">
    <w:name w:val="toc 8"/>
    <w:basedOn w:val="1"/>
    <w:next w:val="1"/>
    <w:qFormat/>
    <w:uiPriority w:val="0"/>
    <w:pPr>
      <w:ind w:left="2940" w:leftChars="1400"/>
    </w:pPr>
    <w:rPr>
      <w:rFonts w:ascii="Calibri" w:hAnsi="Calibri" w:cs="Calibri"/>
    </w:rPr>
  </w:style>
  <w:style w:type="paragraph" w:styleId="25">
    <w:name w:val="Date"/>
    <w:basedOn w:val="1"/>
    <w:next w:val="1"/>
    <w:link w:val="77"/>
    <w:qFormat/>
    <w:uiPriority w:val="0"/>
    <w:pPr>
      <w:ind w:left="100" w:leftChars="2500" w:right="238" w:firstLine="280" w:firstLineChars="128"/>
    </w:pPr>
    <w:rPr>
      <w:kern w:val="0"/>
      <w:sz w:val="24"/>
      <w:szCs w:val="24"/>
    </w:rPr>
  </w:style>
  <w:style w:type="paragraph" w:styleId="26">
    <w:name w:val="Body Text Indent 2"/>
    <w:basedOn w:val="1"/>
    <w:link w:val="78"/>
    <w:qFormat/>
    <w:uiPriority w:val="0"/>
    <w:pPr>
      <w:adjustRightInd w:val="0"/>
      <w:spacing w:line="340" w:lineRule="exact"/>
      <w:ind w:firstLine="603"/>
      <w:textAlignment w:val="baseline"/>
    </w:pPr>
    <w:rPr>
      <w:rFonts w:ascii="宋体" w:hAnsi="宋体"/>
      <w:kern w:val="0"/>
      <w:sz w:val="28"/>
      <w:szCs w:val="28"/>
    </w:rPr>
  </w:style>
  <w:style w:type="paragraph" w:styleId="27">
    <w:name w:val="endnote text"/>
    <w:basedOn w:val="1"/>
    <w:link w:val="79"/>
    <w:qFormat/>
    <w:uiPriority w:val="0"/>
    <w:pPr>
      <w:snapToGrid w:val="0"/>
    </w:pPr>
    <w:rPr>
      <w:kern w:val="0"/>
      <w:sz w:val="20"/>
    </w:rPr>
  </w:style>
  <w:style w:type="paragraph" w:styleId="28">
    <w:name w:val="Balloon Text"/>
    <w:basedOn w:val="1"/>
    <w:link w:val="80"/>
    <w:qFormat/>
    <w:uiPriority w:val="0"/>
    <w:rPr>
      <w:kern w:val="0"/>
      <w:sz w:val="18"/>
      <w:szCs w:val="18"/>
    </w:rPr>
  </w:style>
  <w:style w:type="paragraph" w:styleId="29">
    <w:name w:val="footer"/>
    <w:basedOn w:val="1"/>
    <w:link w:val="81"/>
    <w:qFormat/>
    <w:uiPriority w:val="0"/>
    <w:pPr>
      <w:tabs>
        <w:tab w:val="center" w:pos="4153"/>
        <w:tab w:val="right" w:pos="8306"/>
      </w:tabs>
      <w:snapToGrid w:val="0"/>
    </w:pPr>
    <w:rPr>
      <w:kern w:val="0"/>
      <w:sz w:val="18"/>
      <w:szCs w:val="18"/>
    </w:rPr>
  </w:style>
  <w:style w:type="paragraph" w:styleId="30">
    <w:name w:val="header"/>
    <w:basedOn w:val="1"/>
    <w:link w:val="82"/>
    <w:qFormat/>
    <w:uiPriority w:val="0"/>
    <w:pPr>
      <w:pBdr>
        <w:bottom w:val="thinThickSmallGap" w:color="auto" w:sz="24" w:space="1"/>
      </w:pBdr>
      <w:tabs>
        <w:tab w:val="center" w:pos="4153"/>
        <w:tab w:val="right" w:pos="8306"/>
      </w:tabs>
      <w:snapToGrid w:val="0"/>
      <w:spacing w:line="240" w:lineRule="auto"/>
      <w:jc w:val="center"/>
    </w:pPr>
    <w:rPr>
      <w:rFonts w:eastAsia="方正仿宋_GB2312"/>
    </w:rPr>
  </w:style>
  <w:style w:type="paragraph" w:styleId="31">
    <w:name w:val="toc 1"/>
    <w:basedOn w:val="1"/>
    <w:next w:val="1"/>
    <w:qFormat/>
    <w:uiPriority w:val="0"/>
    <w:pPr>
      <w:tabs>
        <w:tab w:val="right" w:leader="dot" w:pos="9072"/>
      </w:tabs>
      <w:spacing w:before="156" w:beforeLines="50" w:after="156" w:afterLines="50" w:line="300" w:lineRule="auto"/>
      <w:jc w:val="center"/>
    </w:pPr>
    <w:rPr>
      <w:rFonts w:eastAsia="黑体"/>
      <w:color w:val="000000"/>
      <w:sz w:val="32"/>
      <w:szCs w:val="32"/>
    </w:rPr>
  </w:style>
  <w:style w:type="paragraph" w:styleId="32">
    <w:name w:val="toc 4"/>
    <w:basedOn w:val="1"/>
    <w:next w:val="1"/>
    <w:qFormat/>
    <w:uiPriority w:val="0"/>
    <w:pPr>
      <w:ind w:left="1260" w:leftChars="600"/>
    </w:pPr>
    <w:rPr>
      <w:rFonts w:ascii="Calibri" w:hAnsi="Calibri" w:cs="Calibri"/>
    </w:rPr>
  </w:style>
  <w:style w:type="paragraph" w:styleId="33">
    <w:name w:val="footnote text"/>
    <w:basedOn w:val="1"/>
    <w:link w:val="83"/>
    <w:qFormat/>
    <w:uiPriority w:val="0"/>
    <w:pPr>
      <w:snapToGrid w:val="0"/>
      <w:spacing w:before="0" w:after="0"/>
      <w:ind w:firstLine="200" w:firstLineChars="200"/>
    </w:pPr>
    <w:rPr>
      <w:sz w:val="18"/>
      <w:szCs w:val="18"/>
    </w:rPr>
  </w:style>
  <w:style w:type="paragraph" w:styleId="34">
    <w:name w:val="toc 6"/>
    <w:basedOn w:val="1"/>
    <w:next w:val="1"/>
    <w:qFormat/>
    <w:uiPriority w:val="0"/>
    <w:pPr>
      <w:ind w:left="2100" w:leftChars="1000"/>
    </w:pPr>
    <w:rPr>
      <w:rFonts w:ascii="Calibri" w:hAnsi="Calibri" w:cs="Calibri"/>
    </w:rPr>
  </w:style>
  <w:style w:type="paragraph" w:styleId="35">
    <w:name w:val="table of figures"/>
    <w:basedOn w:val="1"/>
    <w:next w:val="1"/>
    <w:qFormat/>
    <w:uiPriority w:val="0"/>
    <w:pPr>
      <w:ind w:left="200" w:leftChars="200" w:hanging="200" w:hangingChars="200"/>
    </w:pPr>
  </w:style>
  <w:style w:type="paragraph" w:styleId="36">
    <w:name w:val="toc 2"/>
    <w:basedOn w:val="1"/>
    <w:next w:val="1"/>
    <w:qFormat/>
    <w:uiPriority w:val="0"/>
    <w:pPr>
      <w:tabs>
        <w:tab w:val="left" w:pos="851"/>
        <w:tab w:val="right" w:leader="dot" w:pos="9072"/>
      </w:tabs>
      <w:spacing w:before="0" w:after="0" w:line="300" w:lineRule="auto"/>
      <w:ind w:firstLine="431"/>
    </w:pPr>
    <w:rPr>
      <w:rFonts w:eastAsia="黑体"/>
      <w:color w:val="000000"/>
      <w:sz w:val="24"/>
      <w:szCs w:val="24"/>
    </w:rPr>
  </w:style>
  <w:style w:type="paragraph" w:styleId="37">
    <w:name w:val="toc 9"/>
    <w:basedOn w:val="1"/>
    <w:next w:val="1"/>
    <w:qFormat/>
    <w:uiPriority w:val="0"/>
    <w:pPr>
      <w:ind w:left="3360" w:leftChars="1600"/>
    </w:pPr>
    <w:rPr>
      <w:rFonts w:ascii="Calibri" w:hAnsi="Calibri" w:cs="Calibri"/>
    </w:rPr>
  </w:style>
  <w:style w:type="paragraph" w:styleId="38">
    <w:name w:val="HTML Preformatted"/>
    <w:basedOn w:val="1"/>
    <w:link w:val="8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kern w:val="0"/>
      <w:sz w:val="24"/>
      <w:szCs w:val="24"/>
    </w:rPr>
  </w:style>
  <w:style w:type="paragraph" w:styleId="39">
    <w:name w:val="Normal (Web)"/>
    <w:basedOn w:val="1"/>
    <w:qFormat/>
    <w:uiPriority w:val="99"/>
    <w:pPr>
      <w:widowControl/>
      <w:spacing w:before="100" w:beforeAutospacing="1" w:after="100" w:afterAutospacing="1"/>
    </w:pPr>
    <w:rPr>
      <w:rFonts w:ascii="宋体" w:hAnsi="宋体" w:cs="宋体"/>
      <w:kern w:val="0"/>
      <w:sz w:val="24"/>
      <w:szCs w:val="24"/>
    </w:rPr>
  </w:style>
  <w:style w:type="paragraph" w:styleId="40">
    <w:name w:val="Title"/>
    <w:basedOn w:val="1"/>
    <w:link w:val="85"/>
    <w:qFormat/>
    <w:uiPriority w:val="0"/>
    <w:pPr>
      <w:adjustRightInd w:val="0"/>
      <w:snapToGrid w:val="0"/>
      <w:spacing w:before="0" w:after="0"/>
      <w:ind w:firstLine="0"/>
      <w:jc w:val="center"/>
      <w:outlineLvl w:val="0"/>
    </w:pPr>
    <w:rPr>
      <w:rFonts w:eastAsia="黑体"/>
      <w:bCs/>
      <w:sz w:val="44"/>
      <w:szCs w:val="32"/>
    </w:rPr>
  </w:style>
  <w:style w:type="paragraph" w:styleId="41">
    <w:name w:val="annotation subject"/>
    <w:basedOn w:val="17"/>
    <w:next w:val="17"/>
    <w:link w:val="86"/>
    <w:qFormat/>
    <w:uiPriority w:val="0"/>
    <w:pPr>
      <w:adjustRightInd w:val="0"/>
      <w:snapToGrid w:val="0"/>
      <w:spacing w:before="156" w:beforeLines="50"/>
    </w:pPr>
    <w:rPr>
      <w:b/>
      <w:bCs/>
      <w:sz w:val="24"/>
      <w:szCs w:val="24"/>
    </w:rPr>
  </w:style>
  <w:style w:type="paragraph" w:styleId="42">
    <w:name w:val="Body Text First Indent"/>
    <w:basedOn w:val="1"/>
    <w:link w:val="87"/>
    <w:qFormat/>
    <w:uiPriority w:val="0"/>
    <w:pPr>
      <w:spacing w:before="0" w:line="240" w:lineRule="auto"/>
      <w:ind w:firstLineChars="100"/>
      <w:jc w:val="both"/>
    </w:pPr>
    <w:rPr>
      <w:kern w:val="2"/>
      <w:sz w:val="21"/>
      <w:szCs w:val="24"/>
    </w:rPr>
  </w:style>
  <w:style w:type="paragraph" w:styleId="43">
    <w:name w:val="Body Text First Indent 2"/>
    <w:basedOn w:val="20"/>
    <w:qFormat/>
    <w:uiPriority w:val="0"/>
    <w:pPr>
      <w:spacing w:before="0" w:line="240" w:lineRule="auto"/>
      <w:ind w:firstLineChars="200"/>
      <w:jc w:val="both"/>
    </w:pPr>
    <w:rPr>
      <w:szCs w:val="24"/>
    </w:rPr>
  </w:style>
  <w:style w:type="table" w:styleId="45">
    <w:name w:val="Table Grid"/>
    <w:basedOn w:val="4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qFormat/>
    <w:uiPriority w:val="22"/>
    <w:rPr>
      <w:rFonts w:ascii="Times New Roman" w:hAnsi="Times New Roman" w:eastAsia="方正仿宋_GB2312" w:cs="Times New Roman"/>
      <w:b/>
      <w:bCs/>
      <w:sz w:val="24"/>
      <w:szCs w:val="24"/>
    </w:rPr>
  </w:style>
  <w:style w:type="character" w:styleId="48">
    <w:name w:val="endnote reference"/>
    <w:qFormat/>
    <w:uiPriority w:val="0"/>
    <w:rPr>
      <w:vertAlign w:val="superscript"/>
    </w:rPr>
  </w:style>
  <w:style w:type="character" w:styleId="49">
    <w:name w:val="page number"/>
    <w:qFormat/>
    <w:uiPriority w:val="0"/>
  </w:style>
  <w:style w:type="character" w:styleId="50">
    <w:name w:val="FollowedHyperlink"/>
    <w:qFormat/>
    <w:uiPriority w:val="0"/>
    <w:rPr>
      <w:color w:val="800080"/>
      <w:u w:val="single"/>
    </w:rPr>
  </w:style>
  <w:style w:type="character" w:styleId="51">
    <w:name w:val="Emphasis"/>
    <w:qFormat/>
    <w:uiPriority w:val="0"/>
    <w:rPr>
      <w:color w:val="auto"/>
    </w:rPr>
  </w:style>
  <w:style w:type="character" w:styleId="52">
    <w:name w:val="HTML Definition"/>
    <w:basedOn w:val="46"/>
    <w:qFormat/>
    <w:uiPriority w:val="0"/>
    <w:rPr>
      <w:i/>
      <w:iCs/>
    </w:rPr>
  </w:style>
  <w:style w:type="character" w:styleId="53">
    <w:name w:val="Hyperlink"/>
    <w:basedOn w:val="46"/>
    <w:qFormat/>
    <w:uiPriority w:val="0"/>
    <w:rPr>
      <w:color w:val="2440B3"/>
      <w:u w:val="none"/>
    </w:rPr>
  </w:style>
  <w:style w:type="character" w:styleId="54">
    <w:name w:val="HTML Code"/>
    <w:basedOn w:val="46"/>
    <w:qFormat/>
    <w:uiPriority w:val="0"/>
    <w:rPr>
      <w:rFonts w:ascii="Courier New" w:hAnsi="Courier New"/>
      <w:sz w:val="21"/>
      <w:szCs w:val="21"/>
    </w:rPr>
  </w:style>
  <w:style w:type="character" w:styleId="55">
    <w:name w:val="annotation reference"/>
    <w:qFormat/>
    <w:uiPriority w:val="0"/>
    <w:rPr>
      <w:sz w:val="21"/>
      <w:szCs w:val="21"/>
    </w:rPr>
  </w:style>
  <w:style w:type="character" w:styleId="56">
    <w:name w:val="HTML Cite"/>
    <w:basedOn w:val="46"/>
    <w:qFormat/>
    <w:uiPriority w:val="99"/>
    <w:rPr>
      <w:color w:val="008000"/>
    </w:rPr>
  </w:style>
  <w:style w:type="character" w:styleId="57">
    <w:name w:val="footnote reference"/>
    <w:qFormat/>
    <w:uiPriority w:val="0"/>
    <w:rPr>
      <w:vertAlign w:val="superscript"/>
    </w:rPr>
  </w:style>
  <w:style w:type="character" w:styleId="58">
    <w:name w:val="HTML Keyboard"/>
    <w:basedOn w:val="46"/>
    <w:qFormat/>
    <w:uiPriority w:val="0"/>
    <w:rPr>
      <w:rFonts w:ascii="Courier New" w:hAnsi="Courier New"/>
      <w:sz w:val="21"/>
      <w:szCs w:val="21"/>
    </w:rPr>
  </w:style>
  <w:style w:type="character" w:styleId="59">
    <w:name w:val="HTML Sample"/>
    <w:basedOn w:val="46"/>
    <w:qFormat/>
    <w:uiPriority w:val="0"/>
    <w:rPr>
      <w:rFonts w:ascii="Courier New" w:hAnsi="Courier New"/>
      <w:sz w:val="21"/>
      <w:szCs w:val="21"/>
    </w:rPr>
  </w:style>
  <w:style w:type="character" w:customStyle="1" w:styleId="60">
    <w:name w:val="标题 1 Char"/>
    <w:link w:val="2"/>
    <w:qFormat/>
    <w:uiPriority w:val="0"/>
    <w:rPr>
      <w:rFonts w:ascii="Times New Roman" w:hAnsi="Times New Roman" w:eastAsia="黑体"/>
      <w:color w:val="000000"/>
      <w:sz w:val="32"/>
      <w:szCs w:val="84"/>
    </w:rPr>
  </w:style>
  <w:style w:type="character" w:customStyle="1" w:styleId="61">
    <w:name w:val="标题 2 Char"/>
    <w:link w:val="3"/>
    <w:qFormat/>
    <w:uiPriority w:val="0"/>
    <w:rPr>
      <w:rFonts w:ascii="楷体_GB2312" w:hAnsi="楷体_GB2312" w:eastAsia="楷体_GB2312"/>
      <w:b/>
      <w:color w:val="000000"/>
      <w:kern w:val="2"/>
      <w:sz w:val="32"/>
      <w:szCs w:val="28"/>
    </w:rPr>
  </w:style>
  <w:style w:type="character" w:customStyle="1" w:styleId="62">
    <w:name w:val="标题 3 Char"/>
    <w:link w:val="4"/>
    <w:qFormat/>
    <w:uiPriority w:val="0"/>
    <w:rPr>
      <w:rFonts w:eastAsia="黑体"/>
      <w:color w:val="000000"/>
      <w:kern w:val="2"/>
      <w:sz w:val="24"/>
      <w:szCs w:val="30"/>
    </w:rPr>
  </w:style>
  <w:style w:type="character" w:customStyle="1" w:styleId="63">
    <w:name w:val="标题 4 Char"/>
    <w:link w:val="5"/>
    <w:qFormat/>
    <w:uiPriority w:val="0"/>
    <w:rPr>
      <w:rFonts w:ascii="Times New Roman" w:hAnsi="Times New Roman" w:eastAsia="黑体" w:cs="Times New Roman"/>
      <w:color w:val="000000"/>
      <w:sz w:val="24"/>
      <w:szCs w:val="24"/>
    </w:rPr>
  </w:style>
  <w:style w:type="paragraph" w:customStyle="1" w:styleId="64">
    <w:name w:val="_Style 5"/>
    <w:qFormat/>
    <w:uiPriority w:val="0"/>
    <w:pPr>
      <w:widowControl w:val="0"/>
      <w:ind w:firstLine="200" w:firstLineChars="200"/>
      <w:jc w:val="both"/>
    </w:pPr>
    <w:rPr>
      <w:rFonts w:ascii="Times New Roman" w:hAnsi="Times New Roman" w:eastAsia="宋体" w:cs="Times New Roman"/>
      <w:kern w:val="2"/>
      <w:sz w:val="24"/>
      <w:lang w:val="en-US" w:eastAsia="zh-CN"/>
    </w:rPr>
  </w:style>
  <w:style w:type="paragraph" w:customStyle="1" w:styleId="65">
    <w:name w:val="_Style 1"/>
    <w:basedOn w:val="1"/>
    <w:qFormat/>
    <w:uiPriority w:val="0"/>
    <w:pPr>
      <w:spacing w:line="481" w:lineRule="atLeast"/>
      <w:ind w:firstLine="623"/>
      <w:textAlignment w:val="baseline"/>
    </w:pPr>
    <w:rPr>
      <w:rFonts w:eastAsia="仿宋_GB2312"/>
      <w:color w:val="000000"/>
      <w:sz w:val="31"/>
    </w:rPr>
  </w:style>
  <w:style w:type="character" w:customStyle="1" w:styleId="66">
    <w:name w:val="标题 5 Char"/>
    <w:link w:val="6"/>
    <w:qFormat/>
    <w:uiPriority w:val="0"/>
    <w:rPr>
      <w:rFonts w:ascii="Times New Roman" w:hAnsi="Times New Roman"/>
      <w:b/>
      <w:bCs/>
      <w:kern w:val="2"/>
      <w:sz w:val="28"/>
      <w:szCs w:val="28"/>
    </w:rPr>
  </w:style>
  <w:style w:type="character" w:customStyle="1" w:styleId="67">
    <w:name w:val="标题 6 Char"/>
    <w:link w:val="7"/>
    <w:qFormat/>
    <w:uiPriority w:val="0"/>
    <w:rPr>
      <w:rFonts w:ascii="Arial" w:hAnsi="Arial" w:eastAsia="黑体" w:cs="Arial"/>
      <w:b/>
      <w:bCs/>
      <w:kern w:val="2"/>
      <w:sz w:val="24"/>
      <w:szCs w:val="24"/>
    </w:rPr>
  </w:style>
  <w:style w:type="character" w:customStyle="1" w:styleId="68">
    <w:name w:val="标题 7 Char"/>
    <w:link w:val="8"/>
    <w:qFormat/>
    <w:uiPriority w:val="0"/>
    <w:rPr>
      <w:rFonts w:ascii="Times New Roman" w:hAnsi="Times New Roman"/>
      <w:b/>
      <w:bCs/>
      <w:kern w:val="2"/>
      <w:sz w:val="24"/>
      <w:szCs w:val="24"/>
    </w:rPr>
  </w:style>
  <w:style w:type="character" w:customStyle="1" w:styleId="69">
    <w:name w:val="标题 8 Char"/>
    <w:link w:val="9"/>
    <w:qFormat/>
    <w:uiPriority w:val="0"/>
    <w:rPr>
      <w:rFonts w:ascii="Arial" w:hAnsi="Arial" w:eastAsia="黑体" w:cs="Arial"/>
      <w:kern w:val="2"/>
      <w:sz w:val="24"/>
      <w:szCs w:val="24"/>
    </w:rPr>
  </w:style>
  <w:style w:type="character" w:customStyle="1" w:styleId="70">
    <w:name w:val="标题 9 Char"/>
    <w:link w:val="10"/>
    <w:qFormat/>
    <w:uiPriority w:val="0"/>
    <w:rPr>
      <w:rFonts w:ascii="Arial" w:hAnsi="Arial" w:eastAsia="黑体" w:cs="Arial"/>
      <w:kern w:val="2"/>
      <w:sz w:val="21"/>
      <w:szCs w:val="21"/>
    </w:rPr>
  </w:style>
  <w:style w:type="character" w:customStyle="1" w:styleId="71">
    <w:name w:val="正文缩进 Char"/>
    <w:link w:val="14"/>
    <w:qFormat/>
    <w:uiPriority w:val="0"/>
    <w:rPr>
      <w:rFonts w:ascii="Times New Roman" w:hAnsi="Times New Roman" w:eastAsia="宋体" w:cs="Times New Roman"/>
      <w:szCs w:val="21"/>
    </w:rPr>
  </w:style>
  <w:style w:type="character" w:customStyle="1" w:styleId="72">
    <w:name w:val="文档结构图 Char"/>
    <w:link w:val="16"/>
    <w:qFormat/>
    <w:uiPriority w:val="0"/>
    <w:rPr>
      <w:rFonts w:ascii="宋体" w:hAnsi="Times New Roman" w:eastAsia="宋体" w:cs="宋体"/>
      <w:sz w:val="18"/>
      <w:szCs w:val="18"/>
    </w:rPr>
  </w:style>
  <w:style w:type="character" w:customStyle="1" w:styleId="73">
    <w:name w:val="批注文字 Char"/>
    <w:link w:val="17"/>
    <w:qFormat/>
    <w:uiPriority w:val="0"/>
    <w:rPr>
      <w:rFonts w:ascii="Times New Roman" w:hAnsi="Times New Roman" w:eastAsia="宋体" w:cs="Times New Roman"/>
      <w:szCs w:val="21"/>
    </w:rPr>
  </w:style>
  <w:style w:type="character" w:customStyle="1" w:styleId="74">
    <w:name w:val="正文文本 Char"/>
    <w:link w:val="19"/>
    <w:qFormat/>
    <w:uiPriority w:val="0"/>
    <w:rPr>
      <w:rFonts w:ascii="Times New Roman" w:hAnsi="Times New Roman" w:eastAsia="宋体" w:cs="Times New Roman"/>
      <w:szCs w:val="21"/>
    </w:rPr>
  </w:style>
  <w:style w:type="character" w:customStyle="1" w:styleId="75">
    <w:name w:val="正文文本缩进 Char"/>
    <w:link w:val="20"/>
    <w:qFormat/>
    <w:uiPriority w:val="0"/>
    <w:rPr>
      <w:rFonts w:ascii="Times New Roman" w:hAnsi="Times New Roman" w:eastAsia="宋体" w:cs="Times New Roman"/>
      <w:szCs w:val="21"/>
    </w:rPr>
  </w:style>
  <w:style w:type="character" w:customStyle="1" w:styleId="76">
    <w:name w:val="纯文本 Char"/>
    <w:link w:val="23"/>
    <w:qFormat/>
    <w:uiPriority w:val="0"/>
    <w:rPr>
      <w:rFonts w:ascii="宋体" w:hAnsi="Courier New" w:cs="Courier New"/>
      <w:kern w:val="2"/>
      <w:sz w:val="21"/>
      <w:szCs w:val="21"/>
    </w:rPr>
  </w:style>
  <w:style w:type="character" w:customStyle="1" w:styleId="77">
    <w:name w:val="日期 Char"/>
    <w:link w:val="25"/>
    <w:qFormat/>
    <w:uiPriority w:val="0"/>
    <w:rPr>
      <w:rFonts w:ascii="Times New Roman" w:hAnsi="Times New Roman" w:eastAsia="宋体" w:cs="Times New Roman"/>
      <w:sz w:val="24"/>
      <w:szCs w:val="24"/>
    </w:rPr>
  </w:style>
  <w:style w:type="character" w:customStyle="1" w:styleId="78">
    <w:name w:val="正文文本缩进 2 Char"/>
    <w:link w:val="26"/>
    <w:qFormat/>
    <w:uiPriority w:val="0"/>
    <w:rPr>
      <w:rFonts w:ascii="宋体" w:hAnsi="宋体" w:eastAsia="宋体" w:cs="宋体"/>
      <w:kern w:val="0"/>
      <w:sz w:val="28"/>
      <w:szCs w:val="28"/>
    </w:rPr>
  </w:style>
  <w:style w:type="character" w:customStyle="1" w:styleId="79">
    <w:name w:val="尾注文本 Char"/>
    <w:link w:val="27"/>
    <w:qFormat/>
    <w:uiPriority w:val="0"/>
    <w:rPr>
      <w:rFonts w:ascii="Times New Roman" w:hAnsi="Times New Roman" w:eastAsia="宋体" w:cs="Times New Roman"/>
      <w:szCs w:val="21"/>
    </w:rPr>
  </w:style>
  <w:style w:type="character" w:customStyle="1" w:styleId="80">
    <w:name w:val="批注框文本 Char"/>
    <w:link w:val="28"/>
    <w:qFormat/>
    <w:uiPriority w:val="0"/>
    <w:rPr>
      <w:rFonts w:ascii="Times New Roman" w:hAnsi="Times New Roman" w:eastAsia="宋体" w:cs="Times New Roman"/>
      <w:sz w:val="18"/>
      <w:szCs w:val="18"/>
    </w:rPr>
  </w:style>
  <w:style w:type="character" w:customStyle="1" w:styleId="81">
    <w:name w:val="页脚 Char"/>
    <w:link w:val="29"/>
    <w:qFormat/>
    <w:uiPriority w:val="0"/>
    <w:rPr>
      <w:rFonts w:ascii="Times New Roman" w:hAnsi="Times New Roman" w:eastAsia="宋体" w:cs="Times New Roman"/>
      <w:sz w:val="18"/>
      <w:szCs w:val="18"/>
    </w:rPr>
  </w:style>
  <w:style w:type="character" w:customStyle="1" w:styleId="82">
    <w:name w:val="页眉 Char"/>
    <w:link w:val="30"/>
    <w:qFormat/>
    <w:uiPriority w:val="0"/>
    <w:rPr>
      <w:rFonts w:ascii="Times New Roman" w:hAnsi="Times New Roman" w:eastAsia="方正仿宋_GB2312"/>
      <w:kern w:val="2"/>
      <w:sz w:val="21"/>
      <w:szCs w:val="21"/>
    </w:rPr>
  </w:style>
  <w:style w:type="character" w:customStyle="1" w:styleId="83">
    <w:name w:val="脚注文本 Char"/>
    <w:link w:val="33"/>
    <w:qFormat/>
    <w:uiPriority w:val="0"/>
    <w:rPr>
      <w:rFonts w:ascii="Times New Roman" w:hAnsi="Times New Roman"/>
      <w:kern w:val="2"/>
      <w:sz w:val="18"/>
      <w:szCs w:val="18"/>
    </w:rPr>
  </w:style>
  <w:style w:type="character" w:customStyle="1" w:styleId="84">
    <w:name w:val="HTML 预设格式 Char"/>
    <w:link w:val="38"/>
    <w:qFormat/>
    <w:uiPriority w:val="0"/>
    <w:rPr>
      <w:rFonts w:ascii="宋体" w:hAnsi="宋体" w:eastAsia="宋体" w:cs="宋体"/>
      <w:kern w:val="0"/>
      <w:sz w:val="24"/>
      <w:szCs w:val="24"/>
    </w:rPr>
  </w:style>
  <w:style w:type="character" w:customStyle="1" w:styleId="85">
    <w:name w:val="标题 Char"/>
    <w:link w:val="40"/>
    <w:qFormat/>
    <w:uiPriority w:val="0"/>
    <w:rPr>
      <w:rFonts w:ascii="Times New Roman" w:hAnsi="Times New Roman" w:eastAsia="黑体" w:cs="Arial"/>
      <w:bCs/>
      <w:kern w:val="2"/>
      <w:sz w:val="44"/>
      <w:szCs w:val="32"/>
    </w:rPr>
  </w:style>
  <w:style w:type="character" w:customStyle="1" w:styleId="86">
    <w:name w:val="批注主题 Char"/>
    <w:link w:val="41"/>
    <w:qFormat/>
    <w:uiPriority w:val="0"/>
    <w:rPr>
      <w:rFonts w:ascii="Times New Roman" w:hAnsi="Times New Roman" w:eastAsia="宋体" w:cs="Times New Roman"/>
      <w:b/>
      <w:bCs/>
      <w:sz w:val="24"/>
      <w:szCs w:val="24"/>
    </w:rPr>
  </w:style>
  <w:style w:type="character" w:customStyle="1" w:styleId="87">
    <w:name w:val="正文首行缩进 Char"/>
    <w:link w:val="42"/>
    <w:qFormat/>
    <w:uiPriority w:val="0"/>
    <w:rPr>
      <w:rFonts w:ascii="Times New Roman" w:hAnsi="Times New Roman" w:eastAsia="宋体" w:cs="Times New Roman"/>
      <w:kern w:val="2"/>
      <w:sz w:val="21"/>
      <w:szCs w:val="24"/>
    </w:rPr>
  </w:style>
  <w:style w:type="character" w:customStyle="1" w:styleId="88">
    <w:name w:val="apple-converted-space"/>
    <w:qFormat/>
    <w:uiPriority w:val="0"/>
  </w:style>
  <w:style w:type="character" w:customStyle="1" w:styleId="89">
    <w:name w:val="样式 样式 首行缩进:  2 字符 + 宋体1 Char Char"/>
    <w:link w:val="90"/>
    <w:qFormat/>
    <w:uiPriority w:val="0"/>
    <w:rPr>
      <w:rFonts w:ascii="宋体" w:hAnsi="宋体" w:eastAsia="楷体_GB2312" w:cs="宋体"/>
      <w:kern w:val="2"/>
      <w:sz w:val="24"/>
      <w:lang w:val="en-US" w:eastAsia="zh-CN" w:bidi="ar-SA"/>
    </w:rPr>
  </w:style>
  <w:style w:type="paragraph" w:customStyle="1" w:styleId="90">
    <w:name w:val="样式 样式 首行缩进:  2 字符 + 宋体1"/>
    <w:basedOn w:val="91"/>
    <w:link w:val="89"/>
    <w:qFormat/>
    <w:uiPriority w:val="0"/>
    <w:pPr>
      <w:spacing w:line="240" w:lineRule="auto"/>
      <w:ind w:firstLine="0"/>
      <w:jc w:val="center"/>
    </w:pPr>
    <w:rPr>
      <w:rFonts w:ascii="宋体" w:hAnsi="宋体" w:eastAsia="楷体_GB2312"/>
    </w:rPr>
  </w:style>
  <w:style w:type="paragraph" w:customStyle="1" w:styleId="91">
    <w:name w:val="样式 首行缩进:  2 字符"/>
    <w:basedOn w:val="1"/>
    <w:link w:val="92"/>
    <w:qFormat/>
    <w:uiPriority w:val="0"/>
    <w:pPr>
      <w:ind w:firstLine="420"/>
    </w:pPr>
    <w:rPr>
      <w:rFonts w:cs="宋体"/>
      <w:sz w:val="24"/>
      <w:szCs w:val="20"/>
    </w:rPr>
  </w:style>
  <w:style w:type="character" w:customStyle="1" w:styleId="92">
    <w:name w:val="样式 首行缩进:  2 字符 Char Char"/>
    <w:link w:val="91"/>
    <w:qFormat/>
    <w:uiPriority w:val="0"/>
    <w:rPr>
      <w:rFonts w:cs="宋体"/>
      <w:kern w:val="2"/>
      <w:sz w:val="24"/>
      <w:lang w:val="en-US" w:eastAsia="zh-CN" w:bidi="ar-SA"/>
    </w:rPr>
  </w:style>
  <w:style w:type="character" w:customStyle="1" w:styleId="93">
    <w:name w:val="font01"/>
    <w:qFormat/>
    <w:uiPriority w:val="0"/>
    <w:rPr>
      <w:rFonts w:hint="default" w:ascii="方正仿宋_GB2312" w:eastAsia="方正仿宋_GB2312" w:cs="方正仿宋_GB2312"/>
      <w:color w:val="FF0000"/>
      <w:sz w:val="21"/>
      <w:szCs w:val="21"/>
      <w:u w:val="none"/>
    </w:rPr>
  </w:style>
  <w:style w:type="character" w:customStyle="1" w:styleId="94">
    <w:name w:val="news_c_da1"/>
    <w:qFormat/>
    <w:uiPriority w:val="0"/>
    <w:rPr>
      <w:rFonts w:ascii="汉仪雅酷黑简" w:hAnsi="汉仪雅酷黑简" w:cs="汉仪雅酷黑简"/>
      <w:b/>
      <w:bCs/>
      <w:color w:val="000000"/>
      <w:sz w:val="18"/>
      <w:szCs w:val="18"/>
    </w:rPr>
  </w:style>
  <w:style w:type="character" w:customStyle="1" w:styleId="95">
    <w:name w:val="正文缩进2格 Char Char"/>
    <w:link w:val="96"/>
    <w:qFormat/>
    <w:uiPriority w:val="0"/>
    <w:rPr>
      <w:rFonts w:ascii="方正仿宋_GB2312" w:hAnsi="宋体" w:eastAsia="方正仿宋_GB2312"/>
      <w:kern w:val="2"/>
      <w:sz w:val="31"/>
    </w:rPr>
  </w:style>
  <w:style w:type="paragraph" w:customStyle="1" w:styleId="96">
    <w:name w:val="正文缩进2格"/>
    <w:basedOn w:val="1"/>
    <w:link w:val="95"/>
    <w:qFormat/>
    <w:uiPriority w:val="0"/>
    <w:pPr>
      <w:spacing w:before="0" w:after="0" w:line="600" w:lineRule="exact"/>
      <w:ind w:firstLine="639" w:firstLineChars="206"/>
      <w:jc w:val="both"/>
    </w:pPr>
    <w:rPr>
      <w:rFonts w:ascii="方正仿宋_GB2312" w:hAnsi="宋体" w:eastAsia="方正仿宋_GB2312"/>
      <w:sz w:val="31"/>
      <w:szCs w:val="20"/>
    </w:rPr>
  </w:style>
  <w:style w:type="character" w:customStyle="1" w:styleId="97">
    <w:name w:val="标题 2字符"/>
    <w:qFormat/>
    <w:uiPriority w:val="0"/>
    <w:rPr>
      <w:rFonts w:ascii="Arial" w:hAnsi="Arial" w:eastAsia="黑体" w:cs="Times New Roman"/>
      <w:b/>
      <w:sz w:val="32"/>
      <w:szCs w:val="20"/>
    </w:rPr>
  </w:style>
  <w:style w:type="character" w:customStyle="1" w:styleId="98">
    <w:name w:val="样式 首行缩进:  2 字符1 Char Char"/>
    <w:link w:val="99"/>
    <w:qFormat/>
    <w:uiPriority w:val="0"/>
    <w:rPr>
      <w:rFonts w:cs="宋体"/>
      <w:kern w:val="2"/>
      <w:sz w:val="24"/>
      <w:lang w:val="en-US" w:eastAsia="zh-CN" w:bidi="ar-SA"/>
    </w:rPr>
  </w:style>
  <w:style w:type="paragraph" w:customStyle="1" w:styleId="99">
    <w:name w:val="样式 首行缩进:  2 字符1"/>
    <w:basedOn w:val="1"/>
    <w:link w:val="98"/>
    <w:qFormat/>
    <w:uiPriority w:val="0"/>
    <w:pPr>
      <w:ind w:firstLine="422"/>
    </w:pPr>
    <w:rPr>
      <w:rFonts w:cs="宋体"/>
      <w:sz w:val="24"/>
      <w:szCs w:val="20"/>
    </w:rPr>
  </w:style>
  <w:style w:type="character" w:customStyle="1" w:styleId="100">
    <w:name w:val="font31"/>
    <w:qFormat/>
    <w:uiPriority w:val="0"/>
    <w:rPr>
      <w:rFonts w:hint="eastAsia" w:ascii="宋体" w:hAnsi="宋体" w:eastAsia="宋体" w:cs="宋体"/>
      <w:color w:val="000000"/>
      <w:sz w:val="24"/>
      <w:szCs w:val="24"/>
    </w:rPr>
  </w:style>
  <w:style w:type="character" w:customStyle="1" w:styleId="101">
    <w:name w:val="批注框文本字符"/>
    <w:qFormat/>
    <w:uiPriority w:val="0"/>
    <w:rPr>
      <w:rFonts w:ascii="Calibri" w:hAnsi="Calibri" w:eastAsia="宋体" w:cs="Times New Roman"/>
      <w:sz w:val="18"/>
      <w:szCs w:val="18"/>
    </w:rPr>
  </w:style>
  <w:style w:type="character" w:customStyle="1" w:styleId="102">
    <w:name w:val="font71"/>
    <w:qFormat/>
    <w:uiPriority w:val="0"/>
    <w:rPr>
      <w:rFonts w:hint="default" w:ascii="Times New Roman" w:hAnsi="Times New Roman" w:cs="Times New Roman"/>
      <w:color w:val="000000"/>
      <w:sz w:val="21"/>
      <w:szCs w:val="21"/>
    </w:rPr>
  </w:style>
  <w:style w:type="character" w:customStyle="1" w:styleId="103">
    <w:name w:val="样式 样式 首行缩进:  2 字符 + 宋体 Char Char"/>
    <w:link w:val="104"/>
    <w:qFormat/>
    <w:uiPriority w:val="0"/>
    <w:rPr>
      <w:rFonts w:ascii="宋体" w:hAnsi="宋体" w:eastAsia="楷体_GB2312" w:cs="宋体"/>
      <w:kern w:val="2"/>
      <w:sz w:val="24"/>
      <w:lang w:val="en-US" w:eastAsia="zh-CN" w:bidi="ar-SA"/>
    </w:rPr>
  </w:style>
  <w:style w:type="paragraph" w:customStyle="1" w:styleId="104">
    <w:name w:val="样式 样式 首行缩进:  2 字符 + 宋体"/>
    <w:basedOn w:val="91"/>
    <w:link w:val="103"/>
    <w:qFormat/>
    <w:uiPriority w:val="0"/>
    <w:pPr>
      <w:spacing w:line="240" w:lineRule="auto"/>
      <w:ind w:firstLine="0"/>
      <w:jc w:val="center"/>
    </w:pPr>
    <w:rPr>
      <w:rFonts w:ascii="宋体" w:hAnsi="宋体" w:eastAsia="楷体_GB2312"/>
    </w:rPr>
  </w:style>
  <w:style w:type="character" w:customStyle="1" w:styleId="105">
    <w:name w:val="01正文 Char Char"/>
    <w:link w:val="106"/>
    <w:qFormat/>
    <w:uiPriority w:val="0"/>
    <w:rPr>
      <w:rFonts w:eastAsia="方正仿宋_GB2312"/>
      <w:kern w:val="2"/>
      <w:sz w:val="21"/>
    </w:rPr>
  </w:style>
  <w:style w:type="paragraph" w:customStyle="1" w:styleId="106">
    <w:name w:val="01正文"/>
    <w:basedOn w:val="1"/>
    <w:link w:val="105"/>
    <w:qFormat/>
    <w:uiPriority w:val="0"/>
    <w:rPr>
      <w:rFonts w:eastAsia="方正仿宋_GB2312"/>
      <w:szCs w:val="20"/>
    </w:rPr>
  </w:style>
  <w:style w:type="character" w:customStyle="1" w:styleId="107">
    <w:name w:val="标题 Char1"/>
    <w:qFormat/>
    <w:uiPriority w:val="0"/>
    <w:rPr>
      <w:rFonts w:ascii="Arial" w:hAnsi="Arial" w:eastAsia="宋体" w:cs="Arial"/>
      <w:b/>
      <w:bCs/>
      <w:kern w:val="2"/>
      <w:sz w:val="32"/>
      <w:szCs w:val="32"/>
      <w:lang w:val="en-US" w:eastAsia="zh-CN" w:bidi="ar-SA"/>
    </w:rPr>
  </w:style>
  <w:style w:type="character" w:styleId="108">
    <w:name w:val="Placeholder Text"/>
    <w:qFormat/>
    <w:uiPriority w:val="0"/>
    <w:rPr>
      <w:color w:val="808080"/>
    </w:rPr>
  </w:style>
  <w:style w:type="character" w:customStyle="1" w:styleId="109">
    <w:name w:val="页眉字符"/>
    <w:qFormat/>
    <w:uiPriority w:val="0"/>
    <w:rPr>
      <w:rFonts w:ascii="Calibri" w:hAnsi="Calibri" w:eastAsia="宋体" w:cs="Times New Roman"/>
      <w:kern w:val="2"/>
      <w:sz w:val="18"/>
      <w:szCs w:val="18"/>
    </w:rPr>
  </w:style>
  <w:style w:type="character" w:customStyle="1" w:styleId="110">
    <w:name w:val="表名 wsm Char Char"/>
    <w:link w:val="111"/>
    <w:qFormat/>
    <w:uiPriority w:val="0"/>
    <w:rPr>
      <w:rFonts w:ascii="Times New Roman" w:hAnsi="Times New Roman" w:eastAsia="黑体"/>
      <w:kern w:val="2"/>
      <w:sz w:val="21"/>
      <w:szCs w:val="21"/>
    </w:rPr>
  </w:style>
  <w:style w:type="paragraph" w:customStyle="1" w:styleId="111">
    <w:name w:val="表名 wsm"/>
    <w:basedOn w:val="1"/>
    <w:link w:val="110"/>
    <w:qFormat/>
    <w:uiPriority w:val="0"/>
    <w:pPr>
      <w:adjustRightInd w:val="0"/>
      <w:snapToGrid w:val="0"/>
      <w:jc w:val="center"/>
    </w:pPr>
    <w:rPr>
      <w:rFonts w:eastAsia="黑体"/>
    </w:rPr>
  </w:style>
  <w:style w:type="character" w:customStyle="1" w:styleId="112">
    <w:name w:val="标题1wsm Char Char"/>
    <w:qFormat/>
    <w:uiPriority w:val="0"/>
    <w:rPr>
      <w:rFonts w:ascii="Times New Roman" w:hAnsi="Times New Roman" w:eastAsia="黑体" w:cs="黑体"/>
      <w:color w:val="000000"/>
      <w:kern w:val="2"/>
      <w:sz w:val="28"/>
      <w:szCs w:val="30"/>
    </w:rPr>
  </w:style>
  <w:style w:type="character" w:customStyle="1" w:styleId="113">
    <w:name w:val="样式 样式 样式 首行缩进:  2 字符 + 首行缩进:  2 字符 + (中文) 宋体 Char Char"/>
    <w:link w:val="114"/>
    <w:qFormat/>
    <w:uiPriority w:val="0"/>
    <w:rPr>
      <w:rFonts w:ascii="黑体" w:hAnsi="Times New Roman" w:eastAsia="楷体_GB2312" w:cs="宋体"/>
      <w:kern w:val="2"/>
      <w:sz w:val="84"/>
      <w:szCs w:val="24"/>
      <w:lang w:val="en-US" w:eastAsia="zh-CN" w:bidi="ar-SA"/>
    </w:rPr>
  </w:style>
  <w:style w:type="paragraph" w:customStyle="1" w:styleId="114">
    <w:name w:val="样式 样式 样式 首行缩进:  2 字符 + 首行缩进:  2 字符 + (中文) 宋体"/>
    <w:basedOn w:val="115"/>
    <w:link w:val="113"/>
    <w:qFormat/>
    <w:uiPriority w:val="0"/>
    <w:rPr>
      <w:rFonts w:eastAsia="楷体_GB2312"/>
      <w:szCs w:val="24"/>
    </w:rPr>
  </w:style>
  <w:style w:type="paragraph" w:customStyle="1" w:styleId="115">
    <w:name w:val="样式 样式 首行缩进:  2 字符 + 首行缩进:  2 字符"/>
    <w:basedOn w:val="91"/>
    <w:link w:val="116"/>
    <w:qFormat/>
    <w:uiPriority w:val="0"/>
    <w:pPr>
      <w:ind w:left="-4" w:leftChars="-2" w:right="-107" w:rightChars="-51" w:firstLine="8" w:firstLineChars="1"/>
      <w:jc w:val="center"/>
    </w:pPr>
    <w:rPr>
      <w:rFonts w:ascii="黑体" w:eastAsia="黑体"/>
      <w:sz w:val="84"/>
      <w:szCs w:val="84"/>
    </w:rPr>
  </w:style>
  <w:style w:type="character" w:customStyle="1" w:styleId="116">
    <w:name w:val="样式 样式 首行缩进:  2 字符 + 首行缩进:  2 字符 Char Char"/>
    <w:link w:val="115"/>
    <w:qFormat/>
    <w:uiPriority w:val="0"/>
    <w:rPr>
      <w:rFonts w:ascii="黑体" w:hAnsi="Times New Roman" w:eastAsia="黑体" w:cs="宋体"/>
      <w:kern w:val="2"/>
      <w:sz w:val="84"/>
      <w:szCs w:val="84"/>
      <w:lang w:val="en-US" w:eastAsia="zh-CN" w:bidi="ar-SA"/>
    </w:rPr>
  </w:style>
  <w:style w:type="character" w:customStyle="1" w:styleId="117">
    <w:name w:val="正文 chen Char Char"/>
    <w:link w:val="118"/>
    <w:qFormat/>
    <w:uiPriority w:val="0"/>
    <w:rPr>
      <w:rFonts w:ascii="Times New Roman" w:hAnsi="Times New Roman" w:eastAsia="方正仿宋_GB2312"/>
      <w:kern w:val="2"/>
      <w:sz w:val="24"/>
      <w:szCs w:val="24"/>
    </w:rPr>
  </w:style>
  <w:style w:type="paragraph" w:customStyle="1" w:styleId="118">
    <w:name w:val="正文 chen"/>
    <w:basedOn w:val="1"/>
    <w:link w:val="117"/>
    <w:qFormat/>
    <w:uiPriority w:val="0"/>
    <w:pPr>
      <w:adjustRightInd w:val="0"/>
      <w:snapToGrid w:val="0"/>
      <w:spacing w:before="0" w:after="0"/>
      <w:ind w:firstLine="200" w:firstLineChars="200"/>
    </w:pPr>
    <w:rPr>
      <w:rFonts w:eastAsia="方正仿宋_GB2312"/>
      <w:sz w:val="24"/>
      <w:szCs w:val="24"/>
    </w:rPr>
  </w:style>
  <w:style w:type="character" w:customStyle="1" w:styleId="119">
    <w:name w:val="font101"/>
    <w:qFormat/>
    <w:uiPriority w:val="0"/>
    <w:rPr>
      <w:rFonts w:hint="default" w:ascii="Times New Roman" w:hAnsi="Times New Roman" w:eastAsia="宋体" w:cs="Times New Roman"/>
      <w:color w:val="000000"/>
      <w:sz w:val="21"/>
      <w:szCs w:val="21"/>
    </w:rPr>
  </w:style>
  <w:style w:type="character" w:customStyle="1" w:styleId="120">
    <w:name w:val="_00000000-0000-0000-0000-000000000001_1"/>
    <w:qFormat/>
    <w:uiPriority w:val="0"/>
    <w:rPr>
      <w:sz w:val="21"/>
      <w:szCs w:val="21"/>
    </w:rPr>
  </w:style>
  <w:style w:type="character" w:customStyle="1" w:styleId="121">
    <w:name w:val="页脚字符"/>
    <w:qFormat/>
    <w:uiPriority w:val="0"/>
    <w:rPr>
      <w:rFonts w:ascii="Calibri" w:hAnsi="Calibri" w:eastAsia="宋体" w:cs="Times New Roman"/>
      <w:kern w:val="2"/>
      <w:sz w:val="18"/>
      <w:szCs w:val="18"/>
    </w:rPr>
  </w:style>
  <w:style w:type="character" w:customStyle="1" w:styleId="122">
    <w:name w:val="wsm正文 Char Char Char"/>
    <w:link w:val="123"/>
    <w:qFormat/>
    <w:uiPriority w:val="0"/>
    <w:rPr>
      <w:rFonts w:ascii="Times New Roman" w:hAnsi="Times New Roman" w:eastAsia="方正仿宋_GB2312"/>
      <w:kern w:val="2"/>
      <w:sz w:val="24"/>
      <w:szCs w:val="24"/>
    </w:rPr>
  </w:style>
  <w:style w:type="paragraph" w:customStyle="1" w:styleId="123">
    <w:name w:val="wsm正文"/>
    <w:basedOn w:val="1"/>
    <w:link w:val="122"/>
    <w:qFormat/>
    <w:uiPriority w:val="0"/>
    <w:pPr>
      <w:adjustRightInd w:val="0"/>
      <w:snapToGrid w:val="0"/>
      <w:ind w:firstLine="200" w:firstLineChars="200"/>
    </w:pPr>
    <w:rPr>
      <w:rFonts w:eastAsia="方正仿宋_GB2312"/>
      <w:sz w:val="24"/>
      <w:szCs w:val="24"/>
    </w:rPr>
  </w:style>
  <w:style w:type="character" w:customStyle="1" w:styleId="124">
    <w:name w:val="wsm正文 Char Char Char Char"/>
    <w:qFormat/>
    <w:uiPriority w:val="0"/>
    <w:rPr>
      <w:rFonts w:ascii="Times New Roman" w:hAnsi="Times New Roman" w:eastAsia="方正仿宋_GB2312"/>
      <w:sz w:val="24"/>
      <w:szCs w:val="24"/>
    </w:rPr>
  </w:style>
  <w:style w:type="character" w:customStyle="1" w:styleId="125">
    <w:name w:val="样式 wsm正文 + (中文) 楷体_GB2312 黑色 Char Char"/>
    <w:link w:val="126"/>
    <w:qFormat/>
    <w:uiPriority w:val="0"/>
    <w:rPr>
      <w:rFonts w:ascii="Times New Roman" w:hAnsi="Times New Roman" w:eastAsia="楷体_GB2312"/>
      <w:color w:val="000000"/>
      <w:kern w:val="2"/>
      <w:sz w:val="24"/>
      <w:szCs w:val="24"/>
      <w:lang w:val="en-US" w:eastAsia="zh-CN" w:bidi="ar-SA"/>
    </w:rPr>
  </w:style>
  <w:style w:type="paragraph" w:customStyle="1" w:styleId="126">
    <w:name w:val="样式 wsm正文 + (中文) 楷体_GB2312 黑色"/>
    <w:basedOn w:val="123"/>
    <w:link w:val="125"/>
    <w:qFormat/>
    <w:uiPriority w:val="0"/>
    <w:rPr>
      <w:rFonts w:eastAsia="楷体_GB2312"/>
      <w:color w:val="000000"/>
      <w:lang w:val="en-US" w:eastAsia="zh-CN"/>
    </w:rPr>
  </w:style>
  <w:style w:type="character" w:customStyle="1" w:styleId="127">
    <w:name w:val="样式 样式 首行缩进:  2 字符 + 宋体 黑色 Char Char"/>
    <w:link w:val="128"/>
    <w:qFormat/>
    <w:uiPriority w:val="0"/>
    <w:rPr>
      <w:rFonts w:ascii="宋体" w:hAnsi="宋体" w:eastAsia="楷体_GB2312" w:cs="宋体"/>
      <w:color w:val="000000"/>
      <w:kern w:val="2"/>
      <w:sz w:val="24"/>
      <w:lang w:val="en-US" w:eastAsia="zh-CN" w:bidi="ar-SA"/>
    </w:rPr>
  </w:style>
  <w:style w:type="paragraph" w:customStyle="1" w:styleId="128">
    <w:name w:val="样式 样式 首行缩进:  2 字符 + 宋体 黑色"/>
    <w:basedOn w:val="91"/>
    <w:link w:val="127"/>
    <w:qFormat/>
    <w:uiPriority w:val="0"/>
    <w:rPr>
      <w:rFonts w:ascii="宋体" w:hAnsi="宋体" w:eastAsia="楷体_GB2312"/>
      <w:color w:val="000000"/>
    </w:rPr>
  </w:style>
  <w:style w:type="character" w:customStyle="1" w:styleId="129">
    <w:name w:val="wsm Char Char"/>
    <w:qFormat/>
    <w:uiPriority w:val="0"/>
    <w:rPr>
      <w:rFonts w:ascii="Times New Roman" w:hAnsi="Times New Roman" w:eastAsia="黑体"/>
      <w:color w:val="000000"/>
      <w:kern w:val="2"/>
      <w:sz w:val="24"/>
      <w:szCs w:val="30"/>
    </w:rPr>
  </w:style>
  <w:style w:type="character" w:customStyle="1" w:styleId="130">
    <w:name w:val="font51"/>
    <w:qFormat/>
    <w:uiPriority w:val="0"/>
    <w:rPr>
      <w:rFonts w:hint="eastAsia" w:ascii="宋体" w:hAnsi="宋体" w:eastAsia="宋体" w:cs="宋体"/>
      <w:color w:val="000000"/>
      <w:sz w:val="21"/>
      <w:szCs w:val="21"/>
    </w:rPr>
  </w:style>
  <w:style w:type="character" w:customStyle="1" w:styleId="131">
    <w:name w:val="样式 样式 首行缩进:  2 字符1 + 宋体 Char Char"/>
    <w:link w:val="132"/>
    <w:qFormat/>
    <w:uiPriority w:val="0"/>
    <w:rPr>
      <w:rFonts w:ascii="宋体" w:hAnsi="宋体" w:eastAsia="楷体_GB2312" w:cs="宋体"/>
      <w:kern w:val="2"/>
      <w:sz w:val="24"/>
      <w:lang w:val="en-US" w:eastAsia="zh-CN" w:bidi="ar-SA"/>
    </w:rPr>
  </w:style>
  <w:style w:type="paragraph" w:customStyle="1" w:styleId="132">
    <w:name w:val="样式 样式 首行缩进:  2 字符1 + 宋体"/>
    <w:basedOn w:val="99"/>
    <w:link w:val="131"/>
    <w:qFormat/>
    <w:uiPriority w:val="0"/>
    <w:rPr>
      <w:rFonts w:ascii="宋体" w:hAnsi="宋体" w:eastAsia="楷体_GB2312"/>
    </w:rPr>
  </w:style>
  <w:style w:type="character" w:customStyle="1" w:styleId="133">
    <w:name w:val="apple-style-span"/>
    <w:qFormat/>
    <w:uiPriority w:val="0"/>
  </w:style>
  <w:style w:type="character" w:customStyle="1" w:styleId="134">
    <w:name w:val="样式 (西文) 宋体"/>
    <w:qFormat/>
    <w:uiPriority w:val="0"/>
    <w:rPr>
      <w:rFonts w:ascii="宋体" w:hAnsi="宋体" w:eastAsia="华文细黑" w:cs="宋体"/>
      <w:kern w:val="24"/>
      <w:sz w:val="28"/>
      <w:szCs w:val="28"/>
      <w:lang w:val="en-US" w:eastAsia="zh-CN"/>
    </w:rPr>
  </w:style>
  <w:style w:type="character" w:customStyle="1" w:styleId="135">
    <w:name w:val="16"/>
    <w:qFormat/>
    <w:uiPriority w:val="0"/>
    <w:rPr>
      <w:rFonts w:hint="eastAsia" w:ascii="宋体" w:hAnsi="宋体" w:eastAsia="楷体_GB2312"/>
      <w:kern w:val="2"/>
      <w:sz w:val="24"/>
      <w:szCs w:val="24"/>
    </w:rPr>
  </w:style>
  <w:style w:type="character" w:customStyle="1" w:styleId="136">
    <w:name w:val="font11"/>
    <w:qFormat/>
    <w:uiPriority w:val="0"/>
    <w:rPr>
      <w:rFonts w:hint="eastAsia" w:ascii="宋体" w:hAnsi="宋体" w:eastAsia="宋体" w:cs="宋体"/>
      <w:color w:val="000000"/>
      <w:sz w:val="21"/>
      <w:szCs w:val="21"/>
      <w:u w:val="none"/>
    </w:rPr>
  </w:style>
  <w:style w:type="character" w:customStyle="1" w:styleId="137">
    <w:name w:val="font91"/>
    <w:qFormat/>
    <w:uiPriority w:val="0"/>
    <w:rPr>
      <w:rFonts w:hint="eastAsia" w:ascii="宋体" w:hAnsi="宋体" w:eastAsia="宋体" w:cs="宋体"/>
      <w:color w:val="000000"/>
      <w:sz w:val="24"/>
      <w:szCs w:val="24"/>
    </w:rPr>
  </w:style>
  <w:style w:type="character" w:customStyle="1" w:styleId="138">
    <w:name w:val="title"/>
    <w:qFormat/>
    <w:uiPriority w:val="0"/>
  </w:style>
  <w:style w:type="character" w:customStyle="1" w:styleId="139">
    <w:name w:val="title1"/>
    <w:qFormat/>
    <w:uiPriority w:val="0"/>
    <w:rPr>
      <w:b/>
      <w:bCs/>
      <w:color w:val="333333"/>
      <w:sz w:val="21"/>
      <w:szCs w:val="21"/>
      <w:u w:val="none"/>
    </w:rPr>
  </w:style>
  <w:style w:type="character" w:customStyle="1" w:styleId="140">
    <w:name w:val="wsm正文 Char Char"/>
    <w:qFormat/>
    <w:uiPriority w:val="0"/>
    <w:rPr>
      <w:rFonts w:ascii="Times New Roman" w:hAnsi="Times New Roman" w:eastAsia="方正仿宋_GB2312"/>
      <w:kern w:val="2"/>
      <w:sz w:val="24"/>
      <w:szCs w:val="24"/>
    </w:rPr>
  </w:style>
  <w:style w:type="character" w:customStyle="1" w:styleId="141">
    <w:name w:val="cucd-0 Char Char Char"/>
    <w:qFormat/>
    <w:uiPriority w:val="0"/>
    <w:rPr>
      <w:kern w:val="2"/>
      <w:sz w:val="24"/>
      <w:szCs w:val="24"/>
      <w:lang w:val="en-US" w:eastAsia="zh-CN" w:bidi="ar-SA"/>
    </w:rPr>
  </w:style>
  <w:style w:type="character" w:customStyle="1" w:styleId="142">
    <w:name w:val="font21"/>
    <w:qFormat/>
    <w:uiPriority w:val="0"/>
    <w:rPr>
      <w:rFonts w:hint="default" w:ascii="Times New Roman" w:hAnsi="Times New Roman" w:cs="Times New Roman"/>
      <w:color w:val="000000"/>
      <w:sz w:val="21"/>
      <w:szCs w:val="21"/>
      <w:u w:val="none"/>
    </w:rPr>
  </w:style>
  <w:style w:type="character" w:customStyle="1" w:styleId="143">
    <w:name w:val="font41"/>
    <w:qFormat/>
    <w:uiPriority w:val="0"/>
    <w:rPr>
      <w:rFonts w:hint="default" w:ascii="Times New Roman" w:hAnsi="Times New Roman" w:eastAsia="宋体" w:cs="Times New Roman"/>
      <w:b/>
      <w:color w:val="000000"/>
      <w:sz w:val="21"/>
      <w:szCs w:val="21"/>
    </w:rPr>
  </w:style>
  <w:style w:type="character" w:customStyle="1" w:styleId="144">
    <w:name w:val="cn2b"/>
    <w:qFormat/>
    <w:uiPriority w:val="0"/>
  </w:style>
  <w:style w:type="character" w:customStyle="1" w:styleId="145">
    <w:name w:val="正文 chen Char Char Char"/>
    <w:qFormat/>
    <w:uiPriority w:val="0"/>
    <w:rPr>
      <w:rFonts w:eastAsia="方正仿宋_GB2312"/>
      <w:kern w:val="2"/>
      <w:sz w:val="24"/>
      <w:szCs w:val="24"/>
      <w:lang w:val="en-US" w:eastAsia="zh-CN" w:bidi="ar-SA"/>
    </w:rPr>
  </w:style>
  <w:style w:type="character" w:customStyle="1" w:styleId="146">
    <w:name w:val="cucd-0 Char Char"/>
    <w:link w:val="147"/>
    <w:qFormat/>
    <w:uiPriority w:val="0"/>
    <w:rPr>
      <w:kern w:val="2"/>
      <w:sz w:val="24"/>
      <w:szCs w:val="24"/>
      <w:lang w:val="en-US" w:eastAsia="zh-CN" w:bidi="ar-SA"/>
    </w:rPr>
  </w:style>
  <w:style w:type="paragraph" w:customStyle="1" w:styleId="147">
    <w:name w:val="cucd-0"/>
    <w:link w:val="146"/>
    <w:qFormat/>
    <w:uiPriority w:val="0"/>
    <w:pPr>
      <w:spacing w:before="72" w:after="72" w:line="360" w:lineRule="auto"/>
      <w:ind w:firstLine="480"/>
    </w:pPr>
    <w:rPr>
      <w:rFonts w:ascii="Times New Roman" w:hAnsi="Times New Roman" w:eastAsia="宋体" w:cs="Times New Roman"/>
      <w:kern w:val="2"/>
      <w:sz w:val="24"/>
      <w:szCs w:val="24"/>
      <w:lang w:val="en-US" w:eastAsia="zh-CN" w:bidi="ar-SA"/>
    </w:rPr>
  </w:style>
  <w:style w:type="character" w:customStyle="1" w:styleId="148">
    <w:name w:val="wsm 标题 4 Char Char"/>
    <w:qFormat/>
    <w:uiPriority w:val="0"/>
    <w:rPr>
      <w:rFonts w:ascii="Times New Roman" w:hAnsi="Times New Roman" w:eastAsia="方正仿宋_GB2312"/>
      <w:b/>
      <w:color w:val="000000"/>
      <w:kern w:val="2"/>
      <w:sz w:val="24"/>
      <w:szCs w:val="24"/>
    </w:rPr>
  </w:style>
  <w:style w:type="character" w:customStyle="1" w:styleId="149">
    <w:name w:val="hei14"/>
    <w:qFormat/>
    <w:uiPriority w:val="0"/>
  </w:style>
  <w:style w:type="character" w:customStyle="1" w:styleId="150">
    <w:name w:val="font81"/>
    <w:qFormat/>
    <w:uiPriority w:val="0"/>
    <w:rPr>
      <w:rFonts w:hint="eastAsia" w:ascii="宋体" w:hAnsi="宋体" w:eastAsia="宋体" w:cs="宋体"/>
      <w:color w:val="000000"/>
      <w:sz w:val="21"/>
      <w:szCs w:val="21"/>
    </w:rPr>
  </w:style>
  <w:style w:type="character" w:customStyle="1" w:styleId="151">
    <w:name w:val="G-0 Char Char"/>
    <w:link w:val="152"/>
    <w:qFormat/>
    <w:uiPriority w:val="0"/>
    <w:rPr>
      <w:kern w:val="2"/>
      <w:sz w:val="24"/>
      <w:szCs w:val="21"/>
    </w:rPr>
  </w:style>
  <w:style w:type="paragraph" w:customStyle="1" w:styleId="152">
    <w:name w:val="G-0"/>
    <w:basedOn w:val="1"/>
    <w:link w:val="151"/>
    <w:qFormat/>
    <w:uiPriority w:val="0"/>
    <w:pPr>
      <w:adjustRightInd w:val="0"/>
      <w:snapToGrid w:val="0"/>
      <w:spacing w:line="360" w:lineRule="auto"/>
      <w:ind w:firstLine="420" w:firstLineChars="200"/>
      <w:textAlignment w:val="baseline"/>
    </w:pPr>
    <w:rPr>
      <w:sz w:val="24"/>
    </w:rPr>
  </w:style>
  <w:style w:type="character" w:customStyle="1" w:styleId="153">
    <w:name w:val="样式 表名 wsm + (中文) 楷体_GB2312 Char Char"/>
    <w:link w:val="154"/>
    <w:qFormat/>
    <w:uiPriority w:val="0"/>
    <w:rPr>
      <w:rFonts w:ascii="Times New Roman" w:hAnsi="Times New Roman" w:eastAsia="楷体_GB2312"/>
      <w:kern w:val="2"/>
      <w:sz w:val="21"/>
      <w:szCs w:val="21"/>
    </w:rPr>
  </w:style>
  <w:style w:type="paragraph" w:customStyle="1" w:styleId="154">
    <w:name w:val="样式 表名 wsm + (中文) 楷体_GB2312"/>
    <w:basedOn w:val="111"/>
    <w:link w:val="153"/>
    <w:qFormat/>
    <w:uiPriority w:val="0"/>
    <w:rPr>
      <w:rFonts w:eastAsia="楷体_GB2312"/>
    </w:rPr>
  </w:style>
  <w:style w:type="paragraph" w:customStyle="1" w:styleId="155">
    <w:name w:val="xl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kern w:val="0"/>
      <w:sz w:val="20"/>
      <w:szCs w:val="20"/>
    </w:rPr>
  </w:style>
  <w:style w:type="paragraph" w:customStyle="1" w:styleId="156">
    <w:name w:val="首缩"/>
    <w:basedOn w:val="1"/>
    <w:qFormat/>
    <w:uiPriority w:val="0"/>
    <w:pPr>
      <w:tabs>
        <w:tab w:val="left" w:pos="540"/>
      </w:tabs>
      <w:autoSpaceDE w:val="0"/>
      <w:autoSpaceDN w:val="0"/>
      <w:adjustRightInd w:val="0"/>
      <w:spacing w:before="0" w:after="0"/>
      <w:ind w:firstLine="482"/>
      <w:textAlignment w:val="baseline"/>
    </w:pPr>
    <w:rPr>
      <w:rFonts w:ascii="宋体" w:hAnsi="宋体"/>
      <w:kern w:val="0"/>
      <w:sz w:val="24"/>
      <w:szCs w:val="20"/>
    </w:rPr>
  </w:style>
  <w:style w:type="paragraph" w:customStyle="1" w:styleId="157">
    <w:name w:val="文本条款"/>
    <w:basedOn w:val="1"/>
    <w:qFormat/>
    <w:uiPriority w:val="0"/>
    <w:pPr>
      <w:spacing w:before="0" w:after="0"/>
      <w:ind w:left="350" w:hanging="350" w:hangingChars="350"/>
    </w:pPr>
    <w:rPr>
      <w:rFonts w:eastAsia="黑体"/>
      <w:color w:val="000000"/>
      <w:sz w:val="24"/>
    </w:rPr>
  </w:style>
  <w:style w:type="paragraph" w:customStyle="1" w:styleId="158">
    <w:name w:val="kgtxt"/>
    <w:basedOn w:val="1"/>
    <w:next w:val="1"/>
    <w:qFormat/>
    <w:uiPriority w:val="0"/>
  </w:style>
  <w:style w:type="paragraph" w:customStyle="1" w:styleId="159">
    <w:name w:val="_Style 152"/>
    <w:qFormat/>
    <w:uiPriority w:val="0"/>
    <w:rPr>
      <w:rFonts w:ascii="Times New Roman" w:hAnsi="Times New Roman" w:eastAsia="宋体" w:cs="Times New Roman"/>
      <w:kern w:val="2"/>
      <w:sz w:val="21"/>
      <w:szCs w:val="21"/>
      <w:lang w:val="en-US" w:eastAsia="zh-CN" w:bidi="ar-SA"/>
    </w:rPr>
  </w:style>
  <w:style w:type="paragraph" w:customStyle="1" w:styleId="160">
    <w:name w:val="样式 首行缩进:  2 字符2"/>
    <w:basedOn w:val="1"/>
    <w:qFormat/>
    <w:uiPriority w:val="0"/>
    <w:pPr>
      <w:ind w:firstLine="420"/>
    </w:pPr>
    <w:rPr>
      <w:rFonts w:eastAsia="楷体_GB2312" w:cs="宋体"/>
      <w:kern w:val="0"/>
      <w:sz w:val="24"/>
      <w:szCs w:val="20"/>
    </w:rPr>
  </w:style>
  <w:style w:type="paragraph" w:customStyle="1" w:styleId="161">
    <w:name w:val="样式 wsm正文 + 段前: 0.5 行1"/>
    <w:basedOn w:val="123"/>
    <w:qFormat/>
    <w:uiPriority w:val="0"/>
    <w:pPr>
      <w:ind w:firstLine="0"/>
      <w:jc w:val="center"/>
    </w:pPr>
    <w:rPr>
      <w:rFonts w:eastAsia="楷体_GB2312" w:cs="宋体"/>
    </w:rPr>
  </w:style>
  <w:style w:type="paragraph" w:customStyle="1" w:styleId="162">
    <w:name w:val="样式 宋体 居中 首行缩进:  0 厘米 段前: 0 磅 段后: 0 磅 行距: 单倍行距"/>
    <w:basedOn w:val="1"/>
    <w:qFormat/>
    <w:uiPriority w:val="0"/>
    <w:pPr>
      <w:spacing w:before="0" w:after="0" w:line="240" w:lineRule="auto"/>
      <w:ind w:firstLine="0"/>
      <w:jc w:val="center"/>
    </w:pPr>
    <w:rPr>
      <w:rFonts w:ascii="宋体" w:hAnsi="宋体" w:eastAsia="楷体_GB2312" w:cs="宋体"/>
      <w:kern w:val="0"/>
      <w:szCs w:val="20"/>
    </w:rPr>
  </w:style>
  <w:style w:type="paragraph" w:customStyle="1" w:styleId="163">
    <w:name w:val="样式 标题 3 +"/>
    <w:basedOn w:val="4"/>
    <w:qFormat/>
    <w:uiPriority w:val="0"/>
    <w:pPr>
      <w:spacing w:line="520" w:lineRule="exact"/>
      <w:ind w:left="709" w:hanging="709"/>
    </w:pPr>
    <w:rPr>
      <w:rFonts w:eastAsia="宋体"/>
      <w:b/>
      <w:bCs/>
      <w:color w:val="auto"/>
      <w:kern w:val="0"/>
      <w:sz w:val="24"/>
      <w:szCs w:val="32"/>
    </w:rPr>
  </w:style>
  <w:style w:type="paragraph" w:customStyle="1" w:styleId="164">
    <w:name w:val="表格"/>
    <w:basedOn w:val="165"/>
    <w:qFormat/>
    <w:uiPriority w:val="0"/>
    <w:pPr>
      <w:widowControl/>
      <w:snapToGrid/>
    </w:pPr>
    <w:rPr>
      <w:rFonts w:eastAsia="宋体"/>
      <w:kern w:val="0"/>
    </w:rPr>
  </w:style>
  <w:style w:type="paragraph" w:customStyle="1" w:styleId="165">
    <w:name w:val="表头 wsm"/>
    <w:basedOn w:val="1"/>
    <w:qFormat/>
    <w:uiPriority w:val="0"/>
    <w:pPr>
      <w:adjustRightInd w:val="0"/>
      <w:snapToGrid w:val="0"/>
      <w:spacing w:before="0" w:after="0" w:line="240" w:lineRule="auto"/>
      <w:ind w:firstLine="0"/>
      <w:jc w:val="center"/>
    </w:pPr>
    <w:rPr>
      <w:rFonts w:eastAsia="黑体"/>
      <w:color w:val="000000"/>
    </w:rPr>
  </w:style>
  <w:style w:type="paragraph" w:customStyle="1" w:styleId="166">
    <w:name w:val="正文 New"/>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167">
    <w:name w:val="标题3 我"/>
    <w:basedOn w:val="4"/>
    <w:qFormat/>
    <w:uiPriority w:val="0"/>
    <w:pPr>
      <w:numPr>
        <w:ilvl w:val="2"/>
        <w:numId w:val="0"/>
      </w:numPr>
      <w:tabs>
        <w:tab w:val="clear" w:pos="709"/>
      </w:tabs>
      <w:adjustRightInd w:val="0"/>
      <w:snapToGrid w:val="0"/>
      <w:spacing w:before="156" w:beforeLines="50"/>
      <w:ind w:firstLine="200" w:firstLineChars="200"/>
    </w:pPr>
    <w:rPr>
      <w:rFonts w:eastAsia="宋体"/>
      <w:b/>
      <w:bCs/>
      <w:color w:val="auto"/>
      <w:sz w:val="24"/>
      <w:szCs w:val="24"/>
    </w:rPr>
  </w:style>
  <w:style w:type="paragraph" w:customStyle="1" w:styleId="168">
    <w:name w:val="xl6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kern w:val="0"/>
    </w:rPr>
  </w:style>
  <w:style w:type="paragraph" w:customStyle="1" w:styleId="169">
    <w:name w:val="font7"/>
    <w:basedOn w:val="1"/>
    <w:qFormat/>
    <w:uiPriority w:val="0"/>
    <w:pPr>
      <w:spacing w:before="100" w:beforeAutospacing="1" w:after="100" w:afterAutospacing="1" w:line="240" w:lineRule="auto"/>
    </w:pPr>
    <w:rPr>
      <w:kern w:val="0"/>
    </w:rPr>
  </w:style>
  <w:style w:type="paragraph" w:customStyle="1" w:styleId="170">
    <w:name w:val="样式 列表编号插图编号 + 左侧:  0.32 厘米"/>
    <w:basedOn w:val="13"/>
    <w:qFormat/>
    <w:uiPriority w:val="0"/>
    <w:pPr>
      <w:tabs>
        <w:tab w:val="clear" w:pos="720"/>
      </w:tabs>
      <w:spacing w:before="120" w:after="156" w:afterLines="50" w:line="360" w:lineRule="exact"/>
      <w:ind w:left="181" w:firstLine="400"/>
    </w:pPr>
    <w:rPr>
      <w:rFonts w:ascii="宋体" w:eastAsia="华文细黑" w:cs="宋体"/>
      <w:b/>
      <w:bCs/>
      <w:sz w:val="20"/>
      <w:szCs w:val="20"/>
    </w:rPr>
  </w:style>
  <w:style w:type="paragraph" w:customStyle="1" w:styleId="171">
    <w:name w:val="xl74"/>
    <w:basedOn w:val="1"/>
    <w:qFormat/>
    <w:uiPriority w:val="0"/>
    <w:pPr>
      <w:pBdr>
        <w:left w:val="single" w:color="auto" w:sz="4" w:space="0"/>
        <w:bottom w:val="single" w:color="auto" w:sz="4" w:space="0"/>
        <w:right w:val="single" w:color="auto" w:sz="4" w:space="0"/>
      </w:pBdr>
      <w:spacing w:before="100" w:beforeAutospacing="1" w:after="100" w:afterAutospacing="1" w:line="240" w:lineRule="auto"/>
      <w:jc w:val="center"/>
    </w:pPr>
    <w:rPr>
      <w:rFonts w:ascii="方正仿宋_GB2312" w:hAnsi="宋体" w:eastAsia="方正仿宋_GB2312" w:cs="宋体"/>
      <w:kern w:val="0"/>
    </w:rPr>
  </w:style>
  <w:style w:type="paragraph" w:customStyle="1" w:styleId="172">
    <w:name w:val="样式 小四 黑色 行距: 1.5 倍行距"/>
    <w:basedOn w:val="1"/>
    <w:qFormat/>
    <w:uiPriority w:val="0"/>
    <w:pPr>
      <w:spacing w:before="0" w:after="0"/>
      <w:ind w:firstLine="480" w:firstLineChars="200"/>
      <w:jc w:val="both"/>
    </w:pPr>
    <w:rPr>
      <w:rFonts w:cs="宋体"/>
      <w:color w:val="000000"/>
      <w:sz w:val="28"/>
      <w:szCs w:val="20"/>
    </w:rPr>
  </w:style>
  <w:style w:type="paragraph" w:customStyle="1" w:styleId="173">
    <w:name w:val="三级(1)"/>
    <w:basedOn w:val="1"/>
    <w:qFormat/>
    <w:uiPriority w:val="0"/>
    <w:pPr>
      <w:numPr>
        <w:ilvl w:val="0"/>
        <w:numId w:val="2"/>
      </w:numPr>
      <w:tabs>
        <w:tab w:val="clear" w:pos="862"/>
      </w:tabs>
      <w:adjustRightInd w:val="0"/>
      <w:snapToGrid w:val="0"/>
      <w:spacing w:line="240" w:lineRule="auto"/>
      <w:ind w:left="1111" w:hanging="402"/>
      <w:jc w:val="both"/>
      <w:textAlignment w:val="baseline"/>
    </w:pPr>
    <w:rPr>
      <w:kern w:val="0"/>
      <w:szCs w:val="20"/>
    </w:rPr>
  </w:style>
  <w:style w:type="paragraph" w:customStyle="1" w:styleId="174">
    <w:name w:val="阳江表格标题"/>
    <w:basedOn w:val="43"/>
    <w:qFormat/>
    <w:uiPriority w:val="0"/>
    <w:pPr>
      <w:spacing w:after="0"/>
      <w:ind w:left="0" w:leftChars="0" w:firstLine="0" w:firstLineChars="0"/>
    </w:pPr>
    <w:rPr>
      <w:rFonts w:cs="宋体"/>
      <w:b/>
      <w:szCs w:val="20"/>
    </w:rPr>
  </w:style>
  <w:style w:type="paragraph" w:customStyle="1" w:styleId="175">
    <w:name w:val="wsm图标标题"/>
    <w:basedOn w:val="1"/>
    <w:qFormat/>
    <w:uiPriority w:val="0"/>
    <w:pPr>
      <w:widowControl w:val="0"/>
      <w:adjustRightInd w:val="0"/>
      <w:snapToGrid w:val="0"/>
      <w:jc w:val="center"/>
    </w:pPr>
    <w:rPr>
      <w:rFonts w:ascii="Times New Roman" w:hAnsi="Times New Roman" w:eastAsia="黑体"/>
      <w:bCs/>
    </w:rPr>
  </w:style>
  <w:style w:type="paragraph" w:customStyle="1" w:styleId="176">
    <w:name w:val="正文 New New"/>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177">
    <w:name w:val="样式 样式 首行缩进:  2 字符2 + 首行缩进:  2 字符1"/>
    <w:basedOn w:val="160"/>
    <w:qFormat/>
    <w:uiPriority w:val="0"/>
    <w:pPr>
      <w:spacing w:line="240" w:lineRule="auto"/>
      <w:ind w:firstLine="0" w:firstLineChars="0"/>
    </w:pPr>
    <w:rPr>
      <w:sz w:val="21"/>
    </w:rPr>
  </w:style>
  <w:style w:type="paragraph" w:customStyle="1" w:styleId="178">
    <w:name w:val="样式 标题 2wsm标题2 + 段前: 0.5 行 段后: 0.5 行"/>
    <w:basedOn w:val="3"/>
    <w:qFormat/>
    <w:uiPriority w:val="0"/>
    <w:pPr>
      <w:numPr>
        <w:ilvl w:val="1"/>
        <w:numId w:val="0"/>
      </w:numPr>
      <w:tabs>
        <w:tab w:val="clear" w:pos="540"/>
      </w:tabs>
      <w:adjustRightInd w:val="0"/>
      <w:snapToGrid w:val="0"/>
      <w:spacing w:before="156" w:beforeLines="50" w:after="156" w:afterLines="50"/>
      <w:ind w:firstLine="200" w:firstLineChars="200"/>
      <w:jc w:val="both"/>
    </w:pPr>
    <w:rPr>
      <w:rFonts w:cs="宋体"/>
      <w:bCs/>
      <w:szCs w:val="20"/>
    </w:rPr>
  </w:style>
  <w:style w:type="paragraph" w:customStyle="1" w:styleId="179">
    <w:name w:val="样式 表头 wsm + 首行缩进:  2 字符"/>
    <w:basedOn w:val="165"/>
    <w:qFormat/>
    <w:uiPriority w:val="0"/>
    <w:pPr>
      <w:ind w:firstLineChars="0"/>
    </w:pPr>
    <w:rPr>
      <w:rFonts w:eastAsia="楷体_GB2312" w:cs="宋体"/>
      <w:szCs w:val="20"/>
    </w:rPr>
  </w:style>
  <w:style w:type="paragraph" w:customStyle="1" w:styleId="180">
    <w:name w:val="正文 New New New"/>
    <w:qFormat/>
    <w:uiPriority w:val="0"/>
    <w:pPr>
      <w:widowControl w:val="0"/>
      <w:jc w:val="both"/>
    </w:pPr>
    <w:rPr>
      <w:rFonts w:ascii="Times New Roman" w:hAnsi="Times New Roman" w:eastAsia="宋体" w:cs="黑体"/>
      <w:kern w:val="2"/>
      <w:sz w:val="21"/>
      <w:szCs w:val="22"/>
      <w:lang w:val="en-US" w:eastAsia="zh-CN" w:bidi="ar-SA"/>
    </w:rPr>
  </w:style>
  <w:style w:type="paragraph" w:styleId="181">
    <w:name w:val="List Paragraph"/>
    <w:basedOn w:val="1"/>
    <w:qFormat/>
    <w:uiPriority w:val="0"/>
  </w:style>
  <w:style w:type="paragraph" w:customStyle="1" w:styleId="182">
    <w:name w:val="样式 标题 4副小节标题 + 行距: 多倍行距 1.57 字行"/>
    <w:basedOn w:val="5"/>
    <w:qFormat/>
    <w:uiPriority w:val="0"/>
    <w:pPr>
      <w:tabs>
        <w:tab w:val="left" w:pos="851"/>
      </w:tabs>
      <w:spacing w:before="156" w:beforeLines="50"/>
      <w:ind w:left="851" w:hanging="851"/>
    </w:pPr>
    <w:rPr>
      <w:rFonts w:ascii="Arial" w:hAnsi="Arial" w:cs="宋体"/>
      <w:b/>
      <w:bCs/>
      <w:color w:val="auto"/>
      <w:szCs w:val="20"/>
    </w:rPr>
  </w:style>
  <w:style w:type="paragraph" w:customStyle="1" w:styleId="183">
    <w:name w:val="样式 标题 3wsm + (中文) 楷体_GB2312"/>
    <w:basedOn w:val="4"/>
    <w:qFormat/>
    <w:uiPriority w:val="0"/>
    <w:rPr>
      <w:rFonts w:eastAsia="楷体_GB2312"/>
    </w:rPr>
  </w:style>
  <w:style w:type="paragraph" w:customStyle="1" w:styleId="184">
    <w:name w:val=" Char Char Char"/>
    <w:basedOn w:val="1"/>
    <w:qFormat/>
    <w:uiPriority w:val="0"/>
    <w:pPr>
      <w:widowControl w:val="0"/>
      <w:spacing w:line="240" w:lineRule="auto"/>
      <w:jc w:val="both"/>
    </w:pPr>
    <w:rPr>
      <w:szCs w:val="20"/>
    </w:rPr>
  </w:style>
  <w:style w:type="paragraph" w:customStyle="1" w:styleId="185">
    <w:name w:val="图表名 wsm"/>
    <w:basedOn w:val="1"/>
    <w:qFormat/>
    <w:uiPriority w:val="0"/>
    <w:pPr>
      <w:spacing w:before="156" w:beforeLines="50" w:after="156" w:afterLines="50"/>
      <w:jc w:val="center"/>
    </w:pPr>
    <w:rPr>
      <w:rFonts w:eastAsia="黑体"/>
    </w:rPr>
  </w:style>
  <w:style w:type="paragraph" w:customStyle="1" w:styleId="186">
    <w:name w:val="_Style 12"/>
    <w:basedOn w:val="1"/>
    <w:qFormat/>
    <w:uiPriority w:val="0"/>
  </w:style>
  <w:style w:type="paragraph" w:customStyle="1" w:styleId="187">
    <w:name w:val="Char Char Char Char Char Char Char1"/>
    <w:basedOn w:val="1"/>
    <w:qFormat/>
    <w:uiPriority w:val="0"/>
    <w:rPr>
      <w:rFonts w:ascii="宋体" w:hAnsi="宋体" w:cs="宋体"/>
      <w:sz w:val="24"/>
      <w:szCs w:val="24"/>
    </w:rPr>
  </w:style>
  <w:style w:type="paragraph" w:customStyle="1" w:styleId="188">
    <w:name w:val="正文加粗"/>
    <w:basedOn w:val="123"/>
    <w:qFormat/>
    <w:uiPriority w:val="0"/>
    <w:rPr>
      <w:b/>
    </w:rPr>
  </w:style>
  <w:style w:type="paragraph" w:customStyle="1" w:styleId="189">
    <w:name w:val="wsm标题"/>
    <w:basedOn w:val="40"/>
    <w:qFormat/>
    <w:uiPriority w:val="0"/>
    <w:pPr>
      <w:spacing w:before="312" w:beforeLines="100" w:after="312" w:afterLines="100"/>
      <w:ind w:firstLine="0"/>
    </w:pPr>
    <w:rPr>
      <w:sz w:val="52"/>
    </w:rPr>
  </w:style>
  <w:style w:type="paragraph" w:customStyle="1" w:styleId="190">
    <w:name w:val="Char Char Char1 Char Char Char Char Char Char Char"/>
    <w:basedOn w:val="1"/>
    <w:qFormat/>
    <w:uiPriority w:val="0"/>
    <w:pPr>
      <w:widowControl w:val="0"/>
      <w:spacing w:line="240" w:lineRule="auto"/>
      <w:jc w:val="both"/>
    </w:pPr>
    <w:rPr>
      <w:rFonts w:ascii="Times New Roman" w:hAnsi="Times New Roman"/>
      <w:szCs w:val="24"/>
    </w:rPr>
  </w:style>
  <w:style w:type="paragraph" w:customStyle="1" w:styleId="191">
    <w:name w:val="wsm标题1"/>
    <w:basedOn w:val="2"/>
    <w:qFormat/>
    <w:uiPriority w:val="0"/>
    <w:pPr>
      <w:pageBreakBefore w:val="0"/>
      <w:tabs>
        <w:tab w:val="clear" w:pos="0"/>
        <w:tab w:val="clear" w:pos="420"/>
      </w:tabs>
      <w:adjustRightInd w:val="0"/>
      <w:snapToGrid w:val="0"/>
      <w:spacing w:before="312" w:beforeLines="100" w:after="312" w:afterLines="100"/>
    </w:pPr>
    <w:rPr>
      <w:rFonts w:eastAsia="宋体"/>
      <w:b/>
      <w:bCs/>
      <w:sz w:val="36"/>
      <w:szCs w:val="36"/>
    </w:rPr>
  </w:style>
  <w:style w:type="paragraph" w:customStyle="1" w:styleId="192">
    <w:name w:val="表名右对齐"/>
    <w:basedOn w:val="111"/>
    <w:qFormat/>
    <w:uiPriority w:val="0"/>
    <w:pPr>
      <w:jc w:val="right"/>
    </w:pPr>
  </w:style>
  <w:style w:type="paragraph" w:customStyle="1" w:styleId="193">
    <w:name w:val="0740503"/>
    <w:basedOn w:val="1"/>
    <w:qFormat/>
    <w:uiPriority w:val="0"/>
    <w:pPr>
      <w:widowControl/>
      <w:spacing w:before="100" w:beforeAutospacing="1" w:after="100" w:afterAutospacing="1" w:line="240" w:lineRule="auto"/>
      <w:ind w:firstLine="0"/>
    </w:pPr>
    <w:rPr>
      <w:rFonts w:ascii="宋体" w:hAnsi="宋体" w:cs="宋体"/>
      <w:kern w:val="0"/>
      <w:sz w:val="24"/>
      <w:szCs w:val="24"/>
    </w:rPr>
  </w:style>
  <w:style w:type="paragraph" w:customStyle="1" w:styleId="194">
    <w:name w:val="表头左"/>
    <w:basedOn w:val="165"/>
    <w:qFormat/>
    <w:uiPriority w:val="0"/>
    <w:pPr>
      <w:jc w:val="left"/>
    </w:pPr>
  </w:style>
  <w:style w:type="paragraph" w:customStyle="1" w:styleId="19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196">
    <w:name w:val="xl69"/>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kern w:val="0"/>
    </w:rPr>
  </w:style>
  <w:style w:type="paragraph" w:customStyle="1" w:styleId="197">
    <w:name w:val="xl71"/>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kern w:val="0"/>
    </w:rPr>
  </w:style>
  <w:style w:type="paragraph" w:customStyle="1" w:styleId="198">
    <w:name w:val="表名"/>
    <w:basedOn w:val="1"/>
    <w:qFormat/>
    <w:uiPriority w:val="0"/>
    <w:pPr>
      <w:keepNext/>
      <w:widowControl w:val="0"/>
      <w:adjustRightInd w:val="0"/>
      <w:snapToGrid w:val="0"/>
      <w:spacing w:line="240" w:lineRule="auto"/>
      <w:jc w:val="center"/>
    </w:pPr>
    <w:rPr>
      <w:b/>
      <w:sz w:val="24"/>
      <w:szCs w:val="24"/>
    </w:rPr>
  </w:style>
  <w:style w:type="paragraph" w:customStyle="1" w:styleId="199">
    <w:name w:val="陈_正文"/>
    <w:basedOn w:val="14"/>
    <w:qFormat/>
    <w:uiPriority w:val="0"/>
    <w:pPr>
      <w:spacing w:before="0" w:after="0" w:line="440" w:lineRule="exact"/>
      <w:ind w:firstLine="200" w:firstLineChars="200"/>
      <w:jc w:val="both"/>
    </w:pPr>
    <w:rPr>
      <w:rFonts w:eastAsia="方正仿宋_GB2312"/>
      <w:bCs/>
      <w:sz w:val="28"/>
      <w:szCs w:val="24"/>
    </w:rPr>
  </w:style>
  <w:style w:type="paragraph" w:customStyle="1" w:styleId="200">
    <w:name w:val="表格文字左"/>
    <w:basedOn w:val="19"/>
    <w:qFormat/>
    <w:uiPriority w:val="0"/>
    <w:pPr>
      <w:spacing w:after="0" w:line="240" w:lineRule="auto"/>
    </w:pPr>
    <w:rPr>
      <w:rFonts w:eastAsia="方正仿宋_GB2312"/>
    </w:rPr>
  </w:style>
  <w:style w:type="paragraph" w:customStyle="1" w:styleId="201">
    <w:name w:val="表格文字中"/>
    <w:basedOn w:val="19"/>
    <w:qFormat/>
    <w:uiPriority w:val="0"/>
    <w:pPr>
      <w:spacing w:after="0" w:line="240" w:lineRule="auto"/>
      <w:jc w:val="center"/>
    </w:pPr>
    <w:rPr>
      <w:rFonts w:eastAsia="方正仿宋_GB2312"/>
    </w:rPr>
  </w:style>
  <w:style w:type="paragraph" w:customStyle="1" w:styleId="202">
    <w:name w:val="样式2"/>
    <w:basedOn w:val="123"/>
    <w:qFormat/>
    <w:uiPriority w:val="0"/>
  </w:style>
  <w:style w:type="paragraph" w:customStyle="1" w:styleId="203">
    <w:name w:val="wsm 表注"/>
    <w:basedOn w:val="118"/>
    <w:qFormat/>
    <w:uiPriority w:val="0"/>
    <w:pPr>
      <w:ind w:firstLine="0" w:firstLineChars="0"/>
    </w:pPr>
    <w:rPr>
      <w:rFonts w:cs="方正仿宋_GB2312"/>
      <w:bCs/>
      <w:color w:val="000000"/>
      <w:sz w:val="21"/>
      <w:szCs w:val="18"/>
    </w:rPr>
  </w:style>
  <w:style w:type="paragraph" w:customStyle="1" w:styleId="204">
    <w:name w:val="Char Char Char Char Char Char Char2"/>
    <w:basedOn w:val="1"/>
    <w:qFormat/>
    <w:uiPriority w:val="0"/>
    <w:rPr>
      <w:rFonts w:ascii="宋体" w:hAnsi="宋体" w:cs="宋体"/>
      <w:sz w:val="24"/>
      <w:szCs w:val="24"/>
    </w:rPr>
  </w:style>
  <w:style w:type="paragraph" w:customStyle="1" w:styleId="205">
    <w:name w:val="font5"/>
    <w:basedOn w:val="1"/>
    <w:qFormat/>
    <w:uiPriority w:val="0"/>
    <w:pPr>
      <w:spacing w:before="100" w:beforeAutospacing="1" w:after="100" w:afterAutospacing="1" w:line="240" w:lineRule="auto"/>
    </w:pPr>
    <w:rPr>
      <w:rFonts w:ascii="宋体" w:hAnsi="宋体" w:cs="宋体"/>
      <w:kern w:val="0"/>
      <w:sz w:val="18"/>
      <w:szCs w:val="18"/>
    </w:rPr>
  </w:style>
  <w:style w:type="paragraph" w:customStyle="1" w:styleId="206">
    <w:name w:val="样式 首行缩进:  3 字符"/>
    <w:basedOn w:val="1"/>
    <w:qFormat/>
    <w:uiPriority w:val="0"/>
    <w:rPr>
      <w:rFonts w:cs="宋体"/>
      <w:szCs w:val="20"/>
    </w:rPr>
  </w:style>
  <w:style w:type="paragraph" w:customStyle="1" w:styleId="207">
    <w:name w:val="样式 表格文字 + 首行缩进:  2 字符"/>
    <w:basedOn w:val="208"/>
    <w:qFormat/>
    <w:uiPriority w:val="0"/>
    <w:pPr>
      <w:ind w:firstLineChars="0"/>
    </w:pPr>
    <w:rPr>
      <w:rFonts w:cs="宋体"/>
      <w:szCs w:val="20"/>
    </w:rPr>
  </w:style>
  <w:style w:type="paragraph" w:customStyle="1" w:styleId="208">
    <w:name w:val="表格文字"/>
    <w:basedOn w:val="1"/>
    <w:qFormat/>
    <w:uiPriority w:val="0"/>
    <w:pPr>
      <w:adjustRightInd w:val="0"/>
      <w:snapToGrid w:val="0"/>
      <w:spacing w:before="0" w:after="0" w:line="240" w:lineRule="auto"/>
      <w:ind w:firstLine="0"/>
      <w:jc w:val="center"/>
    </w:pPr>
    <w:rPr>
      <w:rFonts w:eastAsia="方正仿宋_GB2312"/>
      <w:color w:val="000000"/>
      <w:kern w:val="0"/>
      <w:szCs w:val="24"/>
    </w:rPr>
  </w:style>
  <w:style w:type="paragraph" w:customStyle="1" w:styleId="209">
    <w:name w:val="样式 正文 chen + 首行缩进:  2 字符"/>
    <w:basedOn w:val="118"/>
    <w:qFormat/>
    <w:uiPriority w:val="0"/>
    <w:pPr>
      <w:ind w:hanging="2" w:firstLineChars="0"/>
    </w:pPr>
    <w:rPr>
      <w:rFonts w:eastAsia="楷体_GB2312" w:cs="宋体"/>
      <w:szCs w:val="20"/>
    </w:rPr>
  </w:style>
  <w:style w:type="paragraph" w:customStyle="1" w:styleId="210">
    <w:name w:val="04表格文字"/>
    <w:basedOn w:val="211"/>
    <w:qFormat/>
    <w:uiPriority w:val="0"/>
    <w:rPr>
      <w:rFonts w:eastAsia="方正仿宋_GB2312"/>
    </w:rPr>
  </w:style>
  <w:style w:type="paragraph" w:customStyle="1" w:styleId="211">
    <w:name w:val="02图表标题"/>
    <w:basedOn w:val="1"/>
    <w:qFormat/>
    <w:uiPriority w:val="0"/>
    <w:pPr>
      <w:spacing w:after="156" w:afterLines="50" w:line="240" w:lineRule="auto"/>
      <w:ind w:firstLine="0" w:firstLineChars="0"/>
      <w:jc w:val="center"/>
    </w:pPr>
    <w:rPr>
      <w:rFonts w:eastAsia="黑体"/>
      <w:sz w:val="21"/>
      <w:szCs w:val="21"/>
    </w:rPr>
  </w:style>
  <w:style w:type="paragraph" w:customStyle="1" w:styleId="212">
    <w:name w:val="正文 New New New New New"/>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213">
    <w:name w:val="_Style 206"/>
    <w:basedOn w:val="2"/>
    <w:next w:val="1"/>
    <w:qFormat/>
    <w:uiPriority w:val="0"/>
    <w:pPr>
      <w:pageBreakBefore w:val="0"/>
      <w:spacing w:before="480" w:line="276" w:lineRule="auto"/>
      <w:jc w:val="left"/>
      <w:outlineLvl w:val="9"/>
    </w:pPr>
    <w:rPr>
      <w:rFonts w:ascii="Cambria" w:hAnsi="Cambria" w:eastAsia="宋体" w:cs="Cambria"/>
      <w:b/>
      <w:bCs/>
      <w:color w:val="365F91"/>
      <w:sz w:val="28"/>
      <w:szCs w:val="28"/>
    </w:rPr>
  </w:style>
  <w:style w:type="paragraph" w:customStyle="1" w:styleId="214">
    <w:name w:val="wsm图表标题"/>
    <w:basedOn w:val="1"/>
    <w:qFormat/>
    <w:uiPriority w:val="0"/>
    <w:pPr>
      <w:adjustRightInd w:val="0"/>
      <w:snapToGrid w:val="0"/>
      <w:spacing w:before="0" w:after="0"/>
      <w:ind w:firstLine="0"/>
      <w:jc w:val="center"/>
    </w:pPr>
    <w:rPr>
      <w:rFonts w:eastAsia="黑体"/>
      <w:bCs/>
    </w:rPr>
  </w:style>
  <w:style w:type="paragraph" w:customStyle="1" w:styleId="215">
    <w:name w:val="样式 样式 首行缩进:  2 字符2 + 首行缩进:  2 字符"/>
    <w:basedOn w:val="160"/>
    <w:qFormat/>
    <w:uiPriority w:val="0"/>
    <w:pPr>
      <w:ind w:firstLine="0" w:firstLineChars="0"/>
    </w:pPr>
  </w:style>
  <w:style w:type="paragraph" w:customStyle="1" w:styleId="216">
    <w:name w:val="04表注"/>
    <w:basedOn w:val="217"/>
    <w:qFormat/>
    <w:uiPriority w:val="0"/>
  </w:style>
  <w:style w:type="paragraph" w:customStyle="1" w:styleId="217">
    <w:name w:val="04 表格文字靠左"/>
    <w:basedOn w:val="210"/>
    <w:qFormat/>
    <w:uiPriority w:val="0"/>
    <w:pPr>
      <w:jc w:val="left"/>
    </w:pPr>
  </w:style>
  <w:style w:type="paragraph" w:customStyle="1" w:styleId="218">
    <w:name w:val="自动编号"/>
    <w:basedOn w:val="123"/>
    <w:qFormat/>
    <w:uiPriority w:val="0"/>
    <w:pPr>
      <w:spacing w:before="0" w:after="0"/>
      <w:ind w:left="400" w:leftChars="200" w:hanging="200" w:hangingChars="200"/>
    </w:pPr>
  </w:style>
  <w:style w:type="paragraph" w:customStyle="1" w:styleId="219">
    <w:name w:val="Char Char Char Char Char Char Char3"/>
    <w:basedOn w:val="1"/>
    <w:qFormat/>
    <w:uiPriority w:val="0"/>
    <w:pPr>
      <w:spacing w:before="0" w:after="0"/>
      <w:ind w:firstLine="200" w:firstLineChars="200"/>
      <w:jc w:val="both"/>
    </w:pPr>
    <w:rPr>
      <w:rFonts w:ascii="宋体" w:hAnsi="宋体" w:cs="宋体"/>
      <w:sz w:val="24"/>
      <w:szCs w:val="24"/>
    </w:rPr>
  </w:style>
  <w:style w:type="paragraph" w:customStyle="1" w:styleId="220">
    <w:name w:val="Char Char Char Char Char Char Char"/>
    <w:basedOn w:val="1"/>
    <w:qFormat/>
    <w:uiPriority w:val="0"/>
    <w:rPr>
      <w:rFonts w:ascii="宋体" w:hAnsi="宋体" w:cs="宋体"/>
      <w:sz w:val="24"/>
      <w:szCs w:val="24"/>
    </w:rPr>
  </w:style>
  <w:style w:type="paragraph" w:customStyle="1" w:styleId="221">
    <w:name w:val="xumz-正文"/>
    <w:basedOn w:val="1"/>
    <w:qFormat/>
    <w:uiPriority w:val="0"/>
    <w:pPr>
      <w:snapToGrid w:val="0"/>
      <w:spacing w:line="360" w:lineRule="auto"/>
      <w:ind w:firstLine="200" w:firstLineChars="200"/>
      <w:textAlignment w:val="baseline"/>
    </w:pPr>
    <w:rPr>
      <w:sz w:val="24"/>
    </w:rPr>
  </w:style>
  <w:style w:type="paragraph" w:customStyle="1" w:styleId="222">
    <w:name w:val="样式 表名 wsm + (中文) 楷体_GB2312 首行缩进:  0.74 厘米"/>
    <w:basedOn w:val="111"/>
    <w:qFormat/>
    <w:uiPriority w:val="0"/>
    <w:pPr>
      <w:ind w:firstLine="420"/>
    </w:pPr>
    <w:rPr>
      <w:rFonts w:eastAsia="楷体_GB2312" w:cs="宋体"/>
      <w:szCs w:val="20"/>
    </w:rPr>
  </w:style>
  <w:style w:type="paragraph" w:customStyle="1" w:styleId="223">
    <w:name w:val="Char"/>
    <w:basedOn w:val="1"/>
    <w:qFormat/>
    <w:uiPriority w:val="0"/>
    <w:pPr>
      <w:widowControl w:val="0"/>
      <w:tabs>
        <w:tab w:val="left" w:pos="425"/>
      </w:tabs>
      <w:spacing w:line="240" w:lineRule="auto"/>
      <w:ind w:left="425" w:hanging="425"/>
      <w:jc w:val="both"/>
    </w:pPr>
    <w:rPr>
      <w:rFonts w:ascii="Times New Roman" w:hAnsi="Times New Roman" w:eastAsia="方正仿宋_GB2312"/>
      <w:kern w:val="24"/>
      <w:sz w:val="24"/>
      <w:szCs w:val="28"/>
    </w:rPr>
  </w:style>
  <w:style w:type="paragraph" w:customStyle="1" w:styleId="224">
    <w:name w:val="xl70"/>
    <w:basedOn w:val="1"/>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240" w:lineRule="auto"/>
      <w:jc w:val="center"/>
    </w:pPr>
    <w:rPr>
      <w:rFonts w:ascii="方正仿宋_GB2312" w:hAnsi="宋体" w:eastAsia="方正仿宋_GB2312" w:cs="宋体"/>
      <w:kern w:val="0"/>
    </w:rPr>
  </w:style>
  <w:style w:type="paragraph" w:customStyle="1" w:styleId="225">
    <w:name w:val="表格 wsm"/>
    <w:basedOn w:val="1"/>
    <w:qFormat/>
    <w:uiPriority w:val="0"/>
    <w:pPr>
      <w:jc w:val="center"/>
    </w:pPr>
    <w:rPr>
      <w:rFonts w:eastAsia="方正仿宋_GB2312"/>
      <w:color w:val="000000"/>
    </w:rPr>
  </w:style>
  <w:style w:type="paragraph" w:customStyle="1" w:styleId="226">
    <w:name w:val="样式 题注 + 居中1"/>
    <w:basedOn w:val="15"/>
    <w:qFormat/>
    <w:uiPriority w:val="0"/>
    <w:pPr>
      <w:jc w:val="center"/>
    </w:pPr>
    <w:rPr>
      <w:rFonts w:cs="宋体"/>
      <w:szCs w:val="20"/>
    </w:rPr>
  </w:style>
  <w:style w:type="paragraph" w:customStyle="1" w:styleId="227">
    <w:name w:val="样式 标题 2 + Times New Roman 小四 非加粗 段前: 6 磅 段后: 6 磅 行距: 单倍行距"/>
    <w:basedOn w:val="3"/>
    <w:qFormat/>
    <w:uiPriority w:val="0"/>
    <w:pPr>
      <w:tabs>
        <w:tab w:val="clear" w:pos="540"/>
      </w:tabs>
      <w:spacing w:line="240" w:lineRule="auto"/>
      <w:ind w:left="567" w:hanging="567"/>
      <w:jc w:val="both"/>
    </w:pPr>
    <w:rPr>
      <w:rFonts w:cs="宋体"/>
      <w:kern w:val="0"/>
      <w:sz w:val="24"/>
      <w:szCs w:val="20"/>
    </w:rPr>
  </w:style>
  <w:style w:type="paragraph" w:customStyle="1" w:styleId="228">
    <w:name w:val="表名右"/>
    <w:basedOn w:val="1"/>
    <w:qFormat/>
    <w:uiPriority w:val="0"/>
    <w:pPr>
      <w:jc w:val="right"/>
    </w:pPr>
    <w:rPr>
      <w:rFonts w:eastAsia="黑体"/>
    </w:rPr>
  </w:style>
  <w:style w:type="paragraph" w:customStyle="1" w:styleId="229">
    <w:name w:val="文本正文"/>
    <w:basedOn w:val="1"/>
    <w:qFormat/>
    <w:uiPriority w:val="0"/>
    <w:pPr>
      <w:spacing w:before="0" w:after="0"/>
      <w:ind w:left="400" w:leftChars="400" w:firstLine="200" w:firstLineChars="200"/>
    </w:pPr>
    <w:rPr>
      <w:rFonts w:ascii="黑体" w:eastAsia="黑体"/>
      <w:color w:val="000000"/>
    </w:rPr>
  </w:style>
  <w:style w:type="paragraph" w:customStyle="1" w:styleId="230">
    <w:name w:val="正文wsm"/>
    <w:basedOn w:val="1"/>
    <w:qFormat/>
    <w:uiPriority w:val="0"/>
    <w:pPr>
      <w:widowControl w:val="0"/>
      <w:ind w:firstLine="230" w:firstLineChars="230"/>
      <w:jc w:val="both"/>
    </w:pPr>
    <w:rPr>
      <w:rFonts w:cs="宋体"/>
      <w:color w:val="000000"/>
      <w:kern w:val="0"/>
      <w:sz w:val="28"/>
      <w:szCs w:val="28"/>
    </w:rPr>
  </w:style>
  <w:style w:type="paragraph" w:customStyle="1" w:styleId="231">
    <w:name w:val="样式 首行缩进:  0.74 厘米 段前: 0.5 行 段后: 0.3 行"/>
    <w:basedOn w:val="1"/>
    <w:qFormat/>
    <w:uiPriority w:val="0"/>
    <w:pPr>
      <w:spacing w:before="120"/>
    </w:pPr>
    <w:rPr>
      <w:rFonts w:eastAsia="华文细黑"/>
    </w:rPr>
  </w:style>
  <w:style w:type="paragraph" w:customStyle="1" w:styleId="232">
    <w:name w:val="正文小四"/>
    <w:qFormat/>
    <w:uiPriority w:val="0"/>
    <w:pPr>
      <w:spacing w:before="72" w:after="72" w:line="360" w:lineRule="auto"/>
      <w:ind w:firstLine="420"/>
    </w:pPr>
    <w:rPr>
      <w:rFonts w:ascii="Times New Roman" w:hAnsi="Times New Roman" w:eastAsia="宋体" w:cs="Times New Roman"/>
      <w:kern w:val="2"/>
      <w:sz w:val="24"/>
      <w:szCs w:val="24"/>
      <w:lang w:val="en-US" w:eastAsia="zh-CN" w:bidi="ar-SA"/>
    </w:rPr>
  </w:style>
  <w:style w:type="paragraph" w:customStyle="1" w:styleId="233">
    <w:name w:val="项目名称"/>
    <w:basedOn w:val="1"/>
    <w:qFormat/>
    <w:uiPriority w:val="0"/>
    <w:pPr>
      <w:jc w:val="center"/>
    </w:pPr>
    <w:rPr>
      <w:rFonts w:ascii="Arial" w:hAnsi="Arial" w:eastAsia="黑体" w:cs="Arial"/>
      <w:b/>
      <w:bCs/>
      <w:sz w:val="44"/>
      <w:szCs w:val="44"/>
    </w:rPr>
  </w:style>
  <w:style w:type="paragraph" w:customStyle="1" w:styleId="234">
    <w:name w:val="Char Char Char"/>
    <w:basedOn w:val="1"/>
    <w:qFormat/>
    <w:uiPriority w:val="0"/>
    <w:pPr>
      <w:widowControl w:val="0"/>
      <w:spacing w:line="240" w:lineRule="auto"/>
      <w:jc w:val="both"/>
    </w:pPr>
    <w:rPr>
      <w:sz w:val="32"/>
      <w:szCs w:val="20"/>
    </w:rPr>
  </w:style>
  <w:style w:type="paragraph" w:customStyle="1" w:styleId="235">
    <w:name w:val="xl6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kern w:val="0"/>
    </w:rPr>
  </w:style>
  <w:style w:type="paragraph" w:customStyle="1" w:styleId="236">
    <w:name w:val="wsm 要点"/>
    <w:basedOn w:val="1"/>
    <w:qFormat/>
    <w:uiPriority w:val="0"/>
    <w:pPr>
      <w:adjustRightInd w:val="0"/>
      <w:snapToGrid w:val="0"/>
      <w:spacing w:before="0" w:after="0"/>
    </w:pPr>
    <w:rPr>
      <w:rFonts w:eastAsia="方正仿宋_GB2312"/>
      <w:b/>
      <w:sz w:val="24"/>
    </w:rPr>
  </w:style>
  <w:style w:type="paragraph" w:customStyle="1" w:styleId="237">
    <w:name w:val="图表标题靠右"/>
    <w:basedOn w:val="19"/>
    <w:qFormat/>
    <w:uiPriority w:val="0"/>
    <w:pPr>
      <w:spacing w:before="0" w:after="0"/>
      <w:ind w:firstLine="0"/>
      <w:jc w:val="right"/>
    </w:pPr>
    <w:rPr>
      <w:rFonts w:eastAsia="黑体"/>
      <w:szCs w:val="24"/>
    </w:rPr>
  </w:style>
  <w:style w:type="paragraph" w:customStyle="1" w:styleId="238">
    <w:name w:val="小五号表头"/>
    <w:basedOn w:val="165"/>
    <w:qFormat/>
    <w:uiPriority w:val="0"/>
    <w:rPr>
      <w:kern w:val="0"/>
      <w:sz w:val="18"/>
    </w:rPr>
  </w:style>
  <w:style w:type="paragraph" w:customStyle="1" w:styleId="239">
    <w:name w:val="正文 New New New New New New New"/>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240">
    <w:name w:val="样式 标题 3wsm + (中文) 仿宋_GB2312"/>
    <w:basedOn w:val="4"/>
    <w:qFormat/>
    <w:uiPriority w:val="0"/>
    <w:pPr>
      <w:ind w:firstLine="560"/>
    </w:pPr>
    <w:rPr>
      <w:rFonts w:eastAsia="方正仿宋_GB2312"/>
      <w:szCs w:val="28"/>
    </w:rPr>
  </w:style>
  <w:style w:type="paragraph" w:customStyle="1" w:styleId="241">
    <w:name w:val="样式 首行缩进:  0.85 厘米 段前: 0.5 行 段后: 0.3 行"/>
    <w:basedOn w:val="1"/>
    <w:qFormat/>
    <w:uiPriority w:val="0"/>
    <w:pPr>
      <w:spacing w:before="120" w:after="120"/>
    </w:pPr>
    <w:rPr>
      <w:rFonts w:eastAsia="华文细黑"/>
    </w:rPr>
  </w:style>
  <w:style w:type="paragraph" w:customStyle="1" w:styleId="242">
    <w:name w:val="表格文字左对齐"/>
    <w:basedOn w:val="208"/>
    <w:qFormat/>
    <w:uiPriority w:val="0"/>
    <w:pPr>
      <w:jc w:val="left"/>
    </w:pPr>
  </w:style>
  <w:style w:type="paragraph" w:customStyle="1" w:styleId="243">
    <w:name w:val="05双括号四级编号"/>
    <w:basedOn w:val="106"/>
    <w:qFormat/>
    <w:uiPriority w:val="0"/>
    <w:pPr>
      <w:numPr>
        <w:ilvl w:val="3"/>
        <w:numId w:val="3"/>
      </w:numPr>
    </w:pPr>
    <w:rPr>
      <w:b/>
    </w:rPr>
  </w:style>
  <w:style w:type="paragraph" w:customStyle="1" w:styleId="244">
    <w:name w:val="样式 题注 + 居中"/>
    <w:basedOn w:val="15"/>
    <w:qFormat/>
    <w:uiPriority w:val="0"/>
    <w:pPr>
      <w:jc w:val="center"/>
    </w:pPr>
    <w:rPr>
      <w:rFonts w:eastAsia="楷体_GB2312" w:cs="宋体"/>
      <w:szCs w:val="20"/>
    </w:rPr>
  </w:style>
  <w:style w:type="paragraph" w:customStyle="1" w:styleId="245">
    <w:name w:val="小五号表格文字"/>
    <w:basedOn w:val="208"/>
    <w:qFormat/>
    <w:uiPriority w:val="0"/>
    <w:rPr>
      <w:sz w:val="18"/>
      <w:szCs w:val="21"/>
    </w:rPr>
  </w:style>
  <w:style w:type="paragraph" w:customStyle="1" w:styleId="246">
    <w:name w:val="xl63"/>
    <w:basedOn w:val="1"/>
    <w:qFormat/>
    <w:uiPriority w:val="0"/>
    <w:pPr>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line="240" w:lineRule="auto"/>
      <w:jc w:val="center"/>
    </w:pPr>
    <w:rPr>
      <w:rFonts w:ascii="方正仿宋_GB2312" w:hAnsi="宋体" w:eastAsia="方正仿宋_GB2312" w:cs="宋体"/>
      <w:kern w:val="0"/>
    </w:rPr>
  </w:style>
  <w:style w:type="paragraph" w:customStyle="1" w:styleId="247">
    <w:name w:val="要点 wsm"/>
    <w:basedOn w:val="1"/>
    <w:qFormat/>
    <w:uiPriority w:val="0"/>
    <w:pPr>
      <w:widowControl/>
      <w:ind w:firstLine="482"/>
    </w:pPr>
    <w:rPr>
      <w:rFonts w:eastAsia="方正仿宋_GB2312"/>
      <w:b/>
      <w:bCs/>
      <w:sz w:val="24"/>
      <w:szCs w:val="24"/>
    </w:rPr>
  </w:style>
  <w:style w:type="paragraph" w:customStyle="1" w:styleId="248">
    <w:name w:val="正文李"/>
    <w:basedOn w:val="249"/>
    <w:qFormat/>
    <w:uiPriority w:val="0"/>
    <w:pPr>
      <w:spacing w:before="50"/>
      <w:ind w:firstLine="482"/>
    </w:pPr>
    <w:rPr>
      <w:rFonts w:cs="Times New Roman"/>
    </w:rPr>
  </w:style>
  <w:style w:type="paragraph" w:customStyle="1" w:styleId="249">
    <w:name w:val="样式 wsm正文 + 段前: 0.5 行"/>
    <w:basedOn w:val="123"/>
    <w:qFormat/>
    <w:uiPriority w:val="0"/>
    <w:pPr>
      <w:spacing w:before="120"/>
    </w:pPr>
    <w:rPr>
      <w:rFonts w:eastAsia="楷体_GB2312" w:cs="宋体"/>
      <w:szCs w:val="20"/>
    </w:rPr>
  </w:style>
  <w:style w:type="paragraph" w:customStyle="1" w:styleId="250">
    <w:name w:val="xl73"/>
    <w:basedOn w:val="1"/>
    <w:qFormat/>
    <w:uiPriority w:val="0"/>
    <w:pPr>
      <w:pBdr>
        <w:left w:val="single" w:color="auto" w:sz="4" w:space="0"/>
        <w:right w:val="single" w:color="auto" w:sz="4" w:space="0"/>
      </w:pBdr>
      <w:spacing w:before="100" w:beforeAutospacing="1" w:after="100" w:afterAutospacing="1" w:line="240" w:lineRule="auto"/>
      <w:jc w:val="center"/>
    </w:pPr>
    <w:rPr>
      <w:rFonts w:ascii="方正仿宋_GB2312" w:hAnsi="宋体" w:eastAsia="方正仿宋_GB2312" w:cs="宋体"/>
      <w:kern w:val="0"/>
    </w:rPr>
  </w:style>
  <w:style w:type="paragraph" w:customStyle="1" w:styleId="251">
    <w:name w:val="_Style 89"/>
    <w:basedOn w:val="1"/>
    <w:qFormat/>
    <w:uiPriority w:val="0"/>
    <w:pPr>
      <w:widowControl w:val="0"/>
      <w:spacing w:line="240" w:lineRule="auto"/>
    </w:pPr>
    <w:rPr>
      <w:szCs w:val="22"/>
    </w:rPr>
  </w:style>
  <w:style w:type="paragraph" w:customStyle="1" w:styleId="252">
    <w:name w:val="wsm四级标题"/>
    <w:basedOn w:val="123"/>
    <w:qFormat/>
    <w:uiPriority w:val="0"/>
    <w:pPr>
      <w:spacing w:before="156"/>
      <w:ind w:firstLine="0"/>
    </w:pPr>
    <w:rPr>
      <w:b/>
      <w:bCs/>
    </w:rPr>
  </w:style>
  <w:style w:type="paragraph" w:customStyle="1" w:styleId="253">
    <w:name w:val="样式 阳江表格尾注"/>
    <w:basedOn w:val="254"/>
    <w:qFormat/>
    <w:uiPriority w:val="0"/>
    <w:pPr>
      <w:jc w:val="both"/>
    </w:pPr>
    <w:rPr>
      <w:bCs w:val="0"/>
      <w:szCs w:val="20"/>
    </w:rPr>
  </w:style>
  <w:style w:type="paragraph" w:customStyle="1" w:styleId="254">
    <w:name w:val="阳江表格内部文字"/>
    <w:basedOn w:val="43"/>
    <w:qFormat/>
    <w:uiPriority w:val="0"/>
    <w:pPr>
      <w:spacing w:after="0"/>
      <w:ind w:left="0" w:leftChars="0" w:firstLine="0" w:firstLineChars="0"/>
      <w:jc w:val="center"/>
    </w:pPr>
    <w:rPr>
      <w:rFonts w:cs="宋体"/>
      <w:bCs/>
      <w:sz w:val="18"/>
      <w:szCs w:val="18"/>
    </w:rPr>
  </w:style>
  <w:style w:type="paragraph" w:customStyle="1" w:styleId="255">
    <w:name w:val="03表头"/>
    <w:basedOn w:val="210"/>
    <w:qFormat/>
    <w:uiPriority w:val="0"/>
    <w:rPr>
      <w:b/>
    </w:rPr>
  </w:style>
  <w:style w:type="paragraph" w:customStyle="1" w:styleId="256">
    <w:name w:val="font6"/>
    <w:basedOn w:val="1"/>
    <w:qFormat/>
    <w:uiPriority w:val="0"/>
    <w:pPr>
      <w:spacing w:before="100" w:beforeAutospacing="1" w:after="100" w:afterAutospacing="1" w:line="240" w:lineRule="auto"/>
    </w:pPr>
    <w:rPr>
      <w:rFonts w:ascii="方正仿宋_GB2312" w:hAnsi="宋体" w:eastAsia="方正仿宋_GB2312" w:cs="宋体"/>
      <w:kern w:val="0"/>
    </w:rPr>
  </w:style>
  <w:style w:type="paragraph" w:customStyle="1" w:styleId="257">
    <w:name w:val="_00000000-0000-0000-0000-000000000001_"/>
    <w:qFormat/>
    <w:uiPriority w:val="0"/>
    <w:pPr>
      <w:widowControl w:val="0"/>
      <w:autoSpaceDE w:val="0"/>
      <w:autoSpaceDN w:val="0"/>
      <w:adjustRightInd w:val="0"/>
      <w:spacing w:before="72" w:after="72" w:line="360" w:lineRule="auto"/>
      <w:ind w:firstLine="420"/>
    </w:pPr>
    <w:rPr>
      <w:rFonts w:ascii="Verdana" w:hAnsi="Verdana" w:eastAsia="宋体" w:cs="Verdana"/>
      <w:sz w:val="24"/>
      <w:szCs w:val="24"/>
      <w:lang w:val="en-US" w:eastAsia="zh-CN" w:bidi="ar-SA"/>
    </w:rPr>
  </w:style>
  <w:style w:type="paragraph" w:customStyle="1" w:styleId="258">
    <w:name w:val="xl6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jc w:val="center"/>
    </w:pPr>
    <w:rPr>
      <w:rFonts w:ascii="方正仿宋_GB2312" w:hAnsi="宋体" w:eastAsia="方正仿宋_GB2312" w:cs="宋体"/>
      <w:kern w:val="0"/>
    </w:rPr>
  </w:style>
  <w:style w:type="paragraph" w:customStyle="1" w:styleId="259">
    <w:name w:val="正文 New New New New New New"/>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260">
    <w:name w:val="正文 调查报告"/>
    <w:basedOn w:val="1"/>
    <w:qFormat/>
    <w:uiPriority w:val="0"/>
    <w:pPr>
      <w:widowControl/>
      <w:ind w:firstLine="480"/>
    </w:pPr>
    <w:rPr>
      <w:sz w:val="24"/>
      <w:szCs w:val="24"/>
    </w:rPr>
  </w:style>
  <w:style w:type="paragraph" w:customStyle="1" w:styleId="261">
    <w:name w:val="List Paragraph1"/>
    <w:basedOn w:val="1"/>
    <w:qFormat/>
    <w:uiPriority w:val="0"/>
    <w:pPr>
      <w:widowControl w:val="0"/>
      <w:spacing w:before="72" w:after="72"/>
      <w:ind w:firstLine="420"/>
    </w:pPr>
  </w:style>
  <w:style w:type="paragraph" w:customStyle="1" w:styleId="262">
    <w:name w:val="xl6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pPr>
    <w:rPr>
      <w:kern w:val="0"/>
      <w:sz w:val="20"/>
      <w:szCs w:val="20"/>
    </w:rPr>
  </w:style>
  <w:style w:type="paragraph" w:customStyle="1" w:styleId="263">
    <w:name w:val="正文 New New New New New New New New"/>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264">
    <w:name w:val="xl72"/>
    <w:basedOn w:val="1"/>
    <w:qFormat/>
    <w:uiPriority w:val="0"/>
    <w:pPr>
      <w:pBdr>
        <w:top w:val="single" w:color="auto" w:sz="4" w:space="0"/>
        <w:left w:val="single" w:color="auto" w:sz="4" w:space="0"/>
        <w:right w:val="single" w:color="auto" w:sz="4" w:space="0"/>
      </w:pBdr>
      <w:spacing w:before="100" w:beforeAutospacing="1" w:after="100" w:afterAutospacing="1" w:line="240" w:lineRule="auto"/>
      <w:jc w:val="center"/>
    </w:pPr>
    <w:rPr>
      <w:rFonts w:ascii="方正仿宋_GB2312" w:hAnsi="宋体" w:eastAsia="方正仿宋_GB2312" w:cs="宋体"/>
      <w:kern w:val="0"/>
    </w:rPr>
  </w:style>
  <w:style w:type="paragraph" w:customStyle="1" w:styleId="265">
    <w:name w:val="样式 样式 首行缩进:  2 字符2 + 首行缩进:  2 字符2"/>
    <w:basedOn w:val="160"/>
    <w:qFormat/>
    <w:uiPriority w:val="0"/>
    <w:pPr>
      <w:spacing w:line="240" w:lineRule="auto"/>
      <w:ind w:firstLine="0"/>
      <w:jc w:val="center"/>
    </w:pPr>
    <w:rPr>
      <w:sz w:val="21"/>
    </w:rPr>
  </w:style>
  <w:style w:type="paragraph" w:customStyle="1" w:styleId="266">
    <w:name w:val="cauc-TB"/>
    <w:qFormat/>
    <w:uiPriority w:val="0"/>
    <w:pPr>
      <w:spacing w:before="72" w:after="72" w:line="360" w:lineRule="auto"/>
      <w:ind w:firstLine="420"/>
      <w:jc w:val="center"/>
    </w:pPr>
    <w:rPr>
      <w:rFonts w:ascii="Times New Roman" w:hAnsi="Times New Roman" w:eastAsia="宋体" w:cs="Times New Roman"/>
      <w:kern w:val="2"/>
      <w:sz w:val="24"/>
      <w:szCs w:val="24"/>
      <w:lang w:val="en-US" w:eastAsia="zh-CN" w:bidi="ar-SA"/>
    </w:rPr>
  </w:style>
  <w:style w:type="paragraph" w:customStyle="1" w:styleId="267">
    <w:name w:val="样式 题注 + 首行缩进:  2 字符"/>
    <w:basedOn w:val="15"/>
    <w:qFormat/>
    <w:uiPriority w:val="0"/>
    <w:pPr>
      <w:ind w:firstLine="0" w:firstLineChars="0"/>
      <w:jc w:val="center"/>
    </w:pPr>
    <w:rPr>
      <w:rFonts w:cs="宋体"/>
    </w:rPr>
  </w:style>
  <w:style w:type="paragraph" w:customStyle="1" w:styleId="268">
    <w:name w:val="样式 宋体 黑色 居中 首行缩进:  0 厘米 段前: 0 磅 段后: 0 磅 行距: 单倍行距"/>
    <w:basedOn w:val="1"/>
    <w:qFormat/>
    <w:uiPriority w:val="0"/>
    <w:pPr>
      <w:spacing w:before="0" w:after="0" w:line="240" w:lineRule="auto"/>
      <w:ind w:firstLine="0"/>
      <w:jc w:val="center"/>
    </w:pPr>
    <w:rPr>
      <w:rFonts w:ascii="宋体" w:hAnsi="宋体" w:eastAsia="楷体_GB2312" w:cs="宋体"/>
      <w:color w:val="000000"/>
      <w:kern w:val="0"/>
      <w:szCs w:val="20"/>
    </w:rPr>
  </w:style>
  <w:style w:type="paragraph" w:customStyle="1" w:styleId="269">
    <w:name w:val="列出段落1"/>
    <w:basedOn w:val="1"/>
    <w:qFormat/>
    <w:uiPriority w:val="0"/>
    <w:pPr>
      <w:spacing w:before="0" w:after="0" w:line="240" w:lineRule="auto"/>
      <w:ind w:firstLineChars="200"/>
      <w:jc w:val="both"/>
    </w:pPr>
    <w:rPr>
      <w:szCs w:val="24"/>
    </w:rPr>
  </w:style>
  <w:style w:type="paragraph" w:customStyle="1" w:styleId="270">
    <w:name w:val="正文 New New New New"/>
    <w:qFormat/>
    <w:uiPriority w:val="0"/>
    <w:pPr>
      <w:widowControl w:val="0"/>
      <w:jc w:val="both"/>
    </w:pPr>
    <w:rPr>
      <w:rFonts w:ascii="Times New Roman" w:hAnsi="Times New Roman" w:eastAsia="宋体" w:cs="黑体"/>
      <w:kern w:val="2"/>
      <w:sz w:val="21"/>
      <w:szCs w:val="22"/>
      <w:lang w:val="en-US" w:eastAsia="zh-CN" w:bidi="ar-SA"/>
    </w:rPr>
  </w:style>
  <w:style w:type="paragraph" w:customStyle="1" w:styleId="271">
    <w:name w:val="Char Char Char Char Char Char1 Char"/>
    <w:basedOn w:val="166"/>
    <w:qFormat/>
    <w:uiPriority w:val="0"/>
    <w:pPr>
      <w:widowControl/>
      <w:spacing w:after="160" w:line="240" w:lineRule="exact"/>
      <w:jc w:val="left"/>
    </w:pPr>
    <w:rPr>
      <w:rFonts w:cs="Times New Roman"/>
      <w:szCs w:val="20"/>
    </w:rPr>
  </w:style>
  <w:style w:type="table" w:customStyle="1" w:styleId="272">
    <w:name w:val="Table Normal"/>
    <w:basedOn w:val="44"/>
    <w:qFormat/>
    <w:uiPriority w:val="0"/>
    <w:rPr>
      <w:rFonts w:eastAsia="Times New Roman"/>
    </w:rPr>
    <w:tblPr>
      <w:tblCellMar>
        <w:left w:w="0" w:type="dxa"/>
        <w:right w:w="0" w:type="dxa"/>
      </w:tblCellMar>
    </w:tblPr>
  </w:style>
  <w:style w:type="character" w:customStyle="1" w:styleId="273">
    <w:name w:val="c-icon32"/>
    <w:basedOn w:val="46"/>
    <w:qFormat/>
    <w:uiPriority w:val="0"/>
  </w:style>
  <w:style w:type="character" w:customStyle="1" w:styleId="274">
    <w:name w:val="hover26"/>
    <w:basedOn w:val="46"/>
    <w:qFormat/>
    <w:uiPriority w:val="0"/>
  </w:style>
  <w:style w:type="character" w:customStyle="1" w:styleId="275">
    <w:name w:val="hover27"/>
    <w:basedOn w:val="46"/>
    <w:qFormat/>
    <w:uiPriority w:val="0"/>
    <w:rPr>
      <w:color w:val="315EFB"/>
    </w:rPr>
  </w:style>
  <w:style w:type="character" w:customStyle="1" w:styleId="276">
    <w:name w:val="hover28"/>
    <w:basedOn w:val="46"/>
    <w:qFormat/>
    <w:uiPriority w:val="0"/>
    <w:rPr>
      <w:color w:val="315EFB"/>
    </w:rPr>
  </w:style>
  <w:style w:type="character" w:customStyle="1" w:styleId="277">
    <w:name w:val="hover29"/>
    <w:basedOn w:val="46"/>
    <w:qFormat/>
    <w:uiPriority w:val="0"/>
    <w:rPr>
      <w:color w:val="315EFB"/>
      <w:shd w:val="clear" w:color="auto" w:fill="F0F3FD"/>
    </w:rPr>
  </w:style>
  <w:style w:type="paragraph" w:customStyle="1" w:styleId="278">
    <w:name w:val="正文 阳山"/>
    <w:basedOn w:val="1"/>
    <w:qFormat/>
    <w:uiPriority w:val="0"/>
    <w:pPr>
      <w:spacing w:line="360" w:lineRule="auto"/>
      <w:ind w:firstLine="200" w:firstLineChars="200"/>
    </w:pPr>
    <w:rPr>
      <w:rFonts w:eastAsia="仿宋_GB2312"/>
      <w:kern w:val="0"/>
      <w:sz w:val="24"/>
      <w:szCs w:val="20"/>
    </w:rPr>
  </w:style>
  <w:style w:type="paragraph" w:customStyle="1" w:styleId="279">
    <w:name w:val="WPSOffice手动目录 1"/>
    <w:qFormat/>
    <w:uiPriority w:val="0"/>
    <w:pPr>
      <w:ind w:leftChars="0"/>
    </w:pPr>
    <w:rPr>
      <w:rFonts w:ascii="Times New Roman" w:hAnsi="Times New Roman" w:eastAsia="宋体" w:cs="Times New Roman"/>
      <w:sz w:val="20"/>
      <w:szCs w:val="20"/>
    </w:rPr>
  </w:style>
  <w:style w:type="paragraph" w:customStyle="1" w:styleId="280">
    <w:name w:val="Table Paragraph"/>
    <w:basedOn w:val="1"/>
    <w:qFormat/>
    <w:uiPriority w:val="1"/>
    <w:rPr>
      <w:rFonts w:ascii="宋体" w:hAnsi="宋体" w:eastAsia="宋体" w:cs="宋体"/>
      <w:lang w:val="zh-CN" w:eastAsia="zh-CN" w:bidi="zh-CN"/>
    </w:rPr>
  </w:style>
  <w:style w:type="paragraph" w:customStyle="1" w:styleId="281">
    <w:name w:val="正文首缩"/>
    <w:basedOn w:val="1"/>
    <w:qFormat/>
    <w:uiPriority w:val="0"/>
    <w:pPr>
      <w:snapToGrid w:val="0"/>
      <w:ind w:firstLine="480"/>
      <w:jc w:val="left"/>
    </w:pPr>
    <w:rPr>
      <w:rFonts w:ascii="宋体" w:hAnsi="宋体" w:cs="仿宋"/>
      <w:szCs w:val="21"/>
      <w:u w:color="000000"/>
      <w:lang w:val="zh-TW"/>
    </w:rPr>
  </w:style>
  <w:style w:type="character" w:customStyle="1" w:styleId="282">
    <w:name w:val="first-child"/>
    <w:basedOn w:val="46"/>
    <w:qFormat/>
    <w:uiPriority w:val="0"/>
  </w:style>
  <w:style w:type="character" w:customStyle="1" w:styleId="283">
    <w:name w:val="layui-layer-tabnow"/>
    <w:basedOn w:val="46"/>
    <w:qFormat/>
    <w:uiPriority w:val="0"/>
    <w:rPr>
      <w:bdr w:val="single" w:color="CCCCCC" w:sz="6" w:space="0"/>
      <w:shd w:val="clear" w:color="auto" w:fill="FFFFFF"/>
    </w:rPr>
  </w:style>
  <w:style w:type="character" w:customStyle="1" w:styleId="284">
    <w:name w:val="样式 条标题"/>
    <w:qFormat/>
    <w:uiPriority w:val="0"/>
    <w:rPr>
      <w:rFonts w:eastAsia="黑体"/>
      <w:b/>
      <w:bCs/>
      <w:sz w:val="30"/>
      <w:szCs w:val="30"/>
    </w:rPr>
  </w:style>
  <w:style w:type="paragraph" w:customStyle="1" w:styleId="285">
    <w:name w:val="正文（1）"/>
    <w:basedOn w:val="1"/>
    <w:qFormat/>
    <w:uiPriority w:val="34"/>
    <w:pPr>
      <w:numPr>
        <w:ilvl w:val="0"/>
        <w:numId w:val="4"/>
      </w:numPr>
      <w:ind w:firstLine="0" w:firstLineChars="0"/>
    </w:pPr>
    <w:rPr>
      <w:rFonts w:ascii="仿宋_GB2312" w:hAnsi="仿宋_GB2312" w:cs="仿宋_GB2312"/>
      <w:color w:val="000000"/>
      <w:szCs w:val="32"/>
    </w:rPr>
  </w:style>
  <w:style w:type="paragraph" w:customStyle="1" w:styleId="286">
    <w:name w:val="WPSOffice手动目录 2"/>
    <w:qFormat/>
    <w:uiPriority w:val="0"/>
    <w:pPr>
      <w:ind w:leftChars="200"/>
    </w:pPr>
    <w:rPr>
      <w:rFonts w:ascii="Times New Roman" w:hAnsi="Times New Roman" w:eastAsia="宋体" w:cs="Times New Roman"/>
      <w:sz w:val="20"/>
      <w:szCs w:val="20"/>
    </w:rPr>
  </w:style>
  <w:style w:type="paragraph" w:customStyle="1" w:styleId="287">
    <w:name w:val="节标题2"/>
    <w:basedOn w:val="288"/>
    <w:next w:val="1"/>
    <w:qFormat/>
    <w:uiPriority w:val="0"/>
    <w:pPr>
      <w:numPr>
        <w:ilvl w:val="2"/>
      </w:numPr>
      <w:tabs>
        <w:tab w:val="left" w:pos="0"/>
      </w:tabs>
      <w:outlineLvl w:val="2"/>
    </w:pPr>
    <w:rPr>
      <w:rFonts w:ascii="Times New Roman" w:hAnsi="Times New Roman" w:eastAsia="宋体" w:cs="Times New Roman"/>
      <w:sz w:val="30"/>
    </w:rPr>
  </w:style>
  <w:style w:type="paragraph" w:customStyle="1" w:styleId="288">
    <w:name w:val="节标题1"/>
    <w:basedOn w:val="2"/>
    <w:next w:val="1"/>
    <w:qFormat/>
    <w:uiPriority w:val="0"/>
    <w:pPr>
      <w:numPr>
        <w:ilvl w:val="1"/>
        <w:numId w:val="5"/>
      </w:numPr>
      <w:tabs>
        <w:tab w:val="clear" w:pos="420"/>
      </w:tabs>
      <w:spacing w:before="50" w:beforeLines="50" w:after="50" w:afterLines="50" w:line="360" w:lineRule="auto"/>
      <w:jc w:val="left"/>
      <w:outlineLvl w:val="1"/>
    </w:pPr>
    <w:rPr>
      <w:rFonts w:ascii="Times New Roman" w:hAnsi="Times New Roman" w:eastAsia="黑体" w:cs="Times New Roman"/>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83</Pages>
  <Words>5302</Words>
  <Characters>6214</Characters>
  <Paragraphs>468</Paragraphs>
  <TotalTime>35</TotalTime>
  <ScaleCrop>false</ScaleCrop>
  <LinksUpToDate>false</LinksUpToDate>
  <CharactersWithSpaces>6369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2018-12-12T11:21:00Z</dcterms:created>
  <dc:creator>Chen Qun</dc:creator>
  <cp:lastModifiedBy>LinCuiqiong</cp:lastModifiedBy>
  <cp:lastPrinted>2025-03-14T00:32:00Z</cp:lastPrinted>
  <dcterms:modified xsi:type="dcterms:W3CDTF">2025-05-07T07:13:45Z</dcterms:modified>
  <dc:title>清远市中心城区环境卫生专项规划</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BD5CE873E4BB4250BEE2DC1D38424142</vt:lpwstr>
  </property>
  <property fmtid="{D5CDD505-2E9C-101B-9397-08002B2CF9AE}" pid="4" name="KSOTemplateDocerSaveRecord">
    <vt:lpwstr>eyJoZGlkIjoiODE3NTMzNmZiMWU5YjQ2ODQyOGZiMDU1NTA5NGM5ZDMifQ==</vt:lpwstr>
  </property>
</Properties>
</file>