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56" w:beforeLines="50" w:after="156" w:afterLines="50" w:line="360" w:lineRule="auto"/>
        <w:ind w:firstLine="1285" w:firstLineChars="400"/>
        <w:rPr>
          <w:rFonts w:ascii="仿宋" w:hAnsi="仿宋" w:eastAsia="仿宋"/>
          <w:b/>
          <w:bCs/>
          <w:sz w:val="32"/>
          <w:szCs w:val="32"/>
          <w:shd w:val="clear" w:color="auto" w:fill="FFFFFF"/>
        </w:rPr>
      </w:pPr>
    </w:p>
    <w:p>
      <w:pPr>
        <w:adjustRightInd w:val="0"/>
        <w:snapToGrid w:val="0"/>
        <w:spacing w:before="156" w:beforeLines="50" w:after="156" w:afterLines="50" w:line="360" w:lineRule="auto"/>
        <w:ind w:firstLine="1285" w:firstLineChars="400"/>
        <w:rPr>
          <w:rFonts w:ascii="仿宋" w:hAnsi="仿宋" w:eastAsia="仿宋"/>
          <w:b/>
          <w:bCs/>
          <w:sz w:val="32"/>
          <w:szCs w:val="32"/>
          <w:shd w:val="clear" w:color="auto" w:fill="FFFFFF"/>
        </w:rPr>
      </w:pPr>
    </w:p>
    <w:p>
      <w:pPr>
        <w:adjustRightInd w:val="0"/>
        <w:snapToGrid w:val="0"/>
        <w:spacing w:before="156" w:beforeLines="50" w:after="156" w:afterLines="50" w:line="360" w:lineRule="auto"/>
        <w:ind w:firstLine="1285" w:firstLineChars="400"/>
        <w:rPr>
          <w:rFonts w:ascii="仿宋" w:hAnsi="仿宋" w:eastAsia="仿宋"/>
          <w:b/>
          <w:bCs/>
          <w:sz w:val="32"/>
          <w:szCs w:val="32"/>
          <w:shd w:val="clear" w:color="auto" w:fill="FFFFFF"/>
        </w:rPr>
      </w:pPr>
    </w:p>
    <w:p>
      <w:pPr>
        <w:adjustRightInd w:val="0"/>
        <w:snapToGrid w:val="0"/>
        <w:spacing w:before="156" w:beforeLines="50" w:after="156" w:afterLines="50" w:line="360" w:lineRule="auto"/>
        <w:ind w:firstLine="442" w:firstLineChars="100"/>
        <w:rPr>
          <w:rFonts w:ascii="仿宋" w:hAnsi="仿宋" w:eastAsia="仿宋"/>
          <w:b/>
          <w:bCs/>
          <w:sz w:val="44"/>
          <w:szCs w:val="44"/>
          <w:shd w:val="clear" w:color="auto" w:fill="FFFFFF"/>
        </w:rPr>
      </w:pPr>
      <w:r>
        <w:rPr>
          <w:rFonts w:ascii="仿宋" w:hAnsi="仿宋" w:eastAsia="仿宋"/>
          <w:b/>
          <w:bCs/>
          <w:sz w:val="44"/>
          <w:szCs w:val="44"/>
          <w:shd w:val="clear" w:color="auto" w:fill="FFFFFF"/>
        </w:rPr>
        <w:t>清远市清城区</w:t>
      </w:r>
      <w:r>
        <w:rPr>
          <w:rFonts w:hint="eastAsia" w:ascii="仿宋" w:hAnsi="仿宋" w:eastAsia="仿宋"/>
          <w:b/>
          <w:bCs/>
          <w:sz w:val="44"/>
          <w:szCs w:val="44"/>
          <w:shd w:val="clear" w:color="auto" w:fill="FFFFFF"/>
        </w:rPr>
        <w:t>区域协调</w:t>
      </w:r>
      <w:r>
        <w:rPr>
          <w:rFonts w:ascii="仿宋" w:hAnsi="仿宋" w:eastAsia="仿宋"/>
          <w:b/>
          <w:bCs/>
          <w:sz w:val="44"/>
          <w:szCs w:val="44"/>
          <w:shd w:val="clear" w:color="auto" w:fill="FFFFFF"/>
        </w:rPr>
        <w:t>发展</w:t>
      </w:r>
      <w:r>
        <w:rPr>
          <w:rFonts w:hint="eastAsia" w:ascii="仿宋" w:hAnsi="仿宋" w:eastAsia="仿宋"/>
          <w:b/>
          <w:bCs/>
          <w:sz w:val="44"/>
          <w:szCs w:val="44"/>
          <w:shd w:val="clear" w:color="auto" w:fill="FFFFFF"/>
        </w:rPr>
        <w:t>十四五</w:t>
      </w:r>
      <w:r>
        <w:rPr>
          <w:rFonts w:ascii="仿宋" w:hAnsi="仿宋" w:eastAsia="仿宋"/>
          <w:b/>
          <w:bCs/>
          <w:sz w:val="44"/>
          <w:szCs w:val="44"/>
          <w:shd w:val="clear" w:color="auto" w:fill="FFFFFF"/>
        </w:rPr>
        <w:t>规划</w:t>
      </w:r>
    </w:p>
    <w:p>
      <w:pPr>
        <w:adjustRightInd w:val="0"/>
        <w:snapToGrid w:val="0"/>
        <w:spacing w:before="156" w:beforeLines="50" w:after="156" w:afterLines="50" w:line="360" w:lineRule="auto"/>
        <w:rPr>
          <w:rFonts w:ascii="仿宋" w:hAnsi="仿宋" w:eastAsia="仿宋"/>
          <w:b/>
          <w:bCs/>
          <w:sz w:val="36"/>
          <w:szCs w:val="36"/>
          <w:shd w:val="clear" w:color="auto" w:fill="FFFFFF"/>
        </w:rPr>
      </w:pPr>
      <w:r>
        <w:rPr>
          <w:rFonts w:hint="eastAsia" w:ascii="仿宋" w:hAnsi="仿宋" w:eastAsia="仿宋"/>
          <w:b/>
          <w:bCs/>
          <w:sz w:val="36"/>
          <w:szCs w:val="36"/>
          <w:shd w:val="clear" w:color="auto" w:fill="FFFFFF"/>
        </w:rPr>
        <w:t xml:space="preserve"> </w:t>
      </w:r>
      <w:r>
        <w:rPr>
          <w:rFonts w:ascii="仿宋" w:hAnsi="仿宋" w:eastAsia="仿宋"/>
          <w:b/>
          <w:bCs/>
          <w:sz w:val="36"/>
          <w:szCs w:val="36"/>
          <w:shd w:val="clear" w:color="auto" w:fill="FFFFFF"/>
        </w:rPr>
        <w:t xml:space="preserve">                  </w:t>
      </w:r>
      <w:r>
        <w:rPr>
          <w:rFonts w:hint="eastAsia" w:ascii="仿宋" w:hAnsi="仿宋" w:eastAsia="仿宋"/>
          <w:b/>
          <w:bCs/>
          <w:sz w:val="36"/>
          <w:szCs w:val="36"/>
          <w:shd w:val="clear" w:color="auto" w:fill="FFFFFF"/>
        </w:rPr>
        <w:t>（初稿）</w:t>
      </w: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line="720" w:lineRule="exact"/>
        <w:ind w:firstLine="2891" w:firstLineChars="900"/>
        <w:rPr>
          <w:rFonts w:ascii="仿宋" w:hAnsi="仿宋" w:eastAsia="仿宋"/>
          <w:b/>
          <w:bCs/>
          <w:sz w:val="32"/>
          <w:szCs w:val="32"/>
          <w:shd w:val="clear" w:color="auto" w:fill="FFFFFF"/>
        </w:rPr>
      </w:pPr>
    </w:p>
    <w:p>
      <w:pPr>
        <w:adjustRightInd w:val="0"/>
        <w:snapToGrid w:val="0"/>
        <w:spacing w:line="720" w:lineRule="exact"/>
        <w:ind w:firstLine="2891" w:firstLineChars="900"/>
        <w:rPr>
          <w:rFonts w:ascii="仿宋" w:hAnsi="仿宋" w:eastAsia="仿宋"/>
          <w:b/>
          <w:bCs/>
          <w:sz w:val="32"/>
          <w:szCs w:val="32"/>
          <w:shd w:val="clear" w:color="auto" w:fill="FFFFFF"/>
        </w:rPr>
      </w:pPr>
    </w:p>
    <w:p>
      <w:pPr>
        <w:adjustRightInd w:val="0"/>
        <w:snapToGrid w:val="0"/>
        <w:spacing w:line="720" w:lineRule="exact"/>
        <w:ind w:firstLine="2880" w:firstLineChars="900"/>
        <w:rPr>
          <w:rFonts w:ascii="楷体_GB2312" w:hAnsi="楷体" w:eastAsia="楷体_GB2312"/>
          <w:sz w:val="32"/>
          <w:szCs w:val="32"/>
        </w:rPr>
      </w:pPr>
      <w:r>
        <w:rPr>
          <w:rFonts w:hint="eastAsia" w:ascii="楷体_GB2312" w:hAnsi="楷体" w:eastAsia="楷体_GB2312"/>
          <w:sz w:val="32"/>
          <w:szCs w:val="32"/>
        </w:rPr>
        <w:t>2021年</w:t>
      </w:r>
      <w:r>
        <w:rPr>
          <w:rFonts w:hint="eastAsia" w:ascii="楷体_GB2312" w:hAnsi="楷体" w:eastAsia="楷体_GB2312"/>
          <w:sz w:val="32"/>
          <w:szCs w:val="32"/>
          <w:lang w:val="en-US" w:eastAsia="zh-CN"/>
        </w:rPr>
        <w:t>6</w:t>
      </w:r>
      <w:r>
        <w:rPr>
          <w:rFonts w:hint="eastAsia" w:ascii="楷体_GB2312" w:hAnsi="楷体" w:eastAsia="楷体_GB2312"/>
          <w:sz w:val="32"/>
          <w:szCs w:val="32"/>
        </w:rPr>
        <w:t>月</w:t>
      </w:r>
      <w:r>
        <w:rPr>
          <w:rFonts w:hint="eastAsia" w:ascii="楷体_GB2312" w:hAnsi="楷体" w:eastAsia="楷体_GB2312"/>
          <w:sz w:val="32"/>
          <w:szCs w:val="32"/>
          <w:lang w:val="en-US" w:eastAsia="zh-CN"/>
        </w:rPr>
        <w:t>7</w:t>
      </w:r>
      <w:r>
        <w:rPr>
          <w:rFonts w:hint="eastAsia" w:ascii="楷体_GB2312" w:hAnsi="楷体" w:eastAsia="楷体_GB2312"/>
          <w:sz w:val="32"/>
          <w:szCs w:val="32"/>
        </w:rPr>
        <w:t>日</w:t>
      </w: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before="156" w:beforeLines="50" w:after="156" w:afterLines="50" w:line="360" w:lineRule="auto"/>
        <w:rPr>
          <w:rFonts w:ascii="仿宋" w:hAnsi="仿宋" w:eastAsia="仿宋"/>
          <w:b/>
          <w:bCs/>
          <w:sz w:val="32"/>
          <w:szCs w:val="32"/>
          <w:shd w:val="clear" w:color="auto" w:fill="FFFFFF"/>
        </w:rPr>
      </w:pPr>
    </w:p>
    <w:sdt>
      <w:sdtPr>
        <w:rPr>
          <w:rFonts w:asciiTheme="minorHAnsi" w:hAnsiTheme="minorHAnsi" w:eastAsiaTheme="minorEastAsia" w:cstheme="minorBidi"/>
          <w:color w:val="auto"/>
          <w:kern w:val="2"/>
          <w:sz w:val="21"/>
          <w:szCs w:val="22"/>
          <w:lang w:val="zh-CN"/>
        </w:rPr>
        <w:id w:val="1125274553"/>
        <w:docPartObj>
          <w:docPartGallery w:val="Table of Contents"/>
          <w:docPartUnique/>
        </w:docPartObj>
      </w:sdtPr>
      <w:sdtEndPr>
        <w:rPr>
          <w:rFonts w:asciiTheme="minorHAnsi" w:hAnsiTheme="minorHAnsi" w:eastAsiaTheme="minorEastAsia" w:cstheme="minorBidi"/>
          <w:b/>
          <w:bCs/>
          <w:color w:val="auto"/>
          <w:kern w:val="2"/>
          <w:sz w:val="21"/>
          <w:szCs w:val="22"/>
          <w:lang w:val="zh-CN"/>
        </w:rPr>
      </w:sdtEndPr>
      <w:sdtContent>
        <w:p>
          <w:pPr>
            <w:pStyle w:val="27"/>
            <w:ind w:firstLine="3360" w:firstLineChars="1600"/>
            <w:rPr>
              <w:rFonts w:ascii="黑体" w:hAnsi="黑体" w:eastAsia="黑体"/>
              <w:color w:val="000000" w:themeColor="text1"/>
              <w14:textFill>
                <w14:solidFill>
                  <w14:schemeClr w14:val="tx1"/>
                </w14:solidFill>
              </w14:textFill>
            </w:rPr>
          </w:pPr>
          <w:r>
            <w:rPr>
              <w:rFonts w:ascii="黑体" w:hAnsi="黑体" w:eastAsia="黑体"/>
              <w:color w:val="000000" w:themeColor="text1"/>
              <w:lang w:val="zh-CN"/>
              <w14:textFill>
                <w14:solidFill>
                  <w14:schemeClr w14:val="tx1"/>
                </w14:solidFill>
              </w14:textFill>
            </w:rPr>
            <w:t>目</w:t>
          </w:r>
          <w:r>
            <w:rPr>
              <w:rFonts w:hint="eastAsia" w:ascii="黑体" w:hAnsi="黑体" w:eastAsia="黑体"/>
              <w:color w:val="000000" w:themeColor="text1"/>
              <w:lang w:val="zh-CN"/>
              <w14:textFill>
                <w14:solidFill>
                  <w14:schemeClr w14:val="tx1"/>
                </w14:solidFill>
              </w14:textFill>
            </w:rPr>
            <w:t xml:space="preserve"> </w:t>
          </w:r>
          <w:r>
            <w:rPr>
              <w:rFonts w:ascii="黑体" w:hAnsi="黑体" w:eastAsia="黑体"/>
              <w:color w:val="000000" w:themeColor="text1"/>
              <w:lang w:val="zh-CN"/>
              <w14:textFill>
                <w14:solidFill>
                  <w14:schemeClr w14:val="tx1"/>
                </w14:solidFill>
              </w14:textFill>
            </w:rPr>
            <w:t xml:space="preserve"> 录</w:t>
          </w:r>
        </w:p>
        <w:p>
          <w:pPr>
            <w:pStyle w:val="7"/>
            <w:rPr>
              <w:shd w:val="clear" w:color="auto" w:fill="auto"/>
            </w:rPr>
          </w:pPr>
          <w:r>
            <w:fldChar w:fldCharType="begin"/>
          </w:r>
          <w:r>
            <w:instrText xml:space="preserve"> TOC \o "1-3" \h \z \u </w:instrText>
          </w:r>
          <w:r>
            <w:fldChar w:fldCharType="separate"/>
          </w:r>
          <w:r>
            <w:fldChar w:fldCharType="begin"/>
          </w:r>
          <w:r>
            <w:instrText xml:space="preserve"> HYPERLINK \l "_Toc70236871" </w:instrText>
          </w:r>
          <w:r>
            <w:fldChar w:fldCharType="separate"/>
          </w:r>
          <w:r>
            <w:rPr>
              <w:rStyle w:val="13"/>
            </w:rPr>
            <w:t>一、发展基础与环境</w:t>
          </w:r>
          <w:r>
            <w:tab/>
          </w:r>
          <w:r>
            <w:fldChar w:fldCharType="begin"/>
          </w:r>
          <w:r>
            <w:instrText xml:space="preserve"> PAGEREF _Toc70236871 \h </w:instrText>
          </w:r>
          <w:r>
            <w:fldChar w:fldCharType="separate"/>
          </w:r>
          <w:r>
            <w:t>- 1 -</w:t>
          </w:r>
          <w:r>
            <w:fldChar w:fldCharType="end"/>
          </w:r>
          <w:r>
            <w:fldChar w:fldCharType="end"/>
          </w:r>
        </w:p>
        <w:p>
          <w:pPr>
            <w:pStyle w:val="9"/>
            <w:tabs>
              <w:tab w:val="right" w:leader="dot" w:pos="8296"/>
            </w:tabs>
          </w:pPr>
          <w:r>
            <w:fldChar w:fldCharType="begin"/>
          </w:r>
          <w:r>
            <w:instrText xml:space="preserve"> HYPERLINK \l "_Toc70236872" </w:instrText>
          </w:r>
          <w:r>
            <w:fldChar w:fldCharType="separate"/>
          </w:r>
          <w:r>
            <w:rPr>
              <w:rStyle w:val="13"/>
              <w:rFonts w:ascii="仿宋" w:hAnsi="仿宋" w:eastAsia="仿宋"/>
              <w:shd w:val="clear" w:color="auto" w:fill="FFFFFF"/>
            </w:rPr>
            <w:t>（一）发展基础</w:t>
          </w:r>
          <w:r>
            <w:tab/>
          </w:r>
          <w:r>
            <w:fldChar w:fldCharType="begin"/>
          </w:r>
          <w:r>
            <w:instrText xml:space="preserve"> PAGEREF _Toc70236872 \h </w:instrText>
          </w:r>
          <w:r>
            <w:fldChar w:fldCharType="separate"/>
          </w:r>
          <w:r>
            <w:t>- 1 -</w:t>
          </w:r>
          <w:r>
            <w:fldChar w:fldCharType="end"/>
          </w:r>
          <w:r>
            <w:fldChar w:fldCharType="end"/>
          </w:r>
        </w:p>
        <w:p>
          <w:pPr>
            <w:pStyle w:val="9"/>
            <w:tabs>
              <w:tab w:val="right" w:leader="dot" w:pos="8296"/>
            </w:tabs>
          </w:pPr>
          <w:r>
            <w:fldChar w:fldCharType="begin"/>
          </w:r>
          <w:r>
            <w:instrText xml:space="preserve"> HYPERLINK \l "_Toc70236873" </w:instrText>
          </w:r>
          <w:r>
            <w:fldChar w:fldCharType="separate"/>
          </w:r>
          <w:r>
            <w:rPr>
              <w:rStyle w:val="13"/>
              <w:rFonts w:ascii="仿宋" w:hAnsi="仿宋" w:eastAsia="仿宋"/>
              <w:shd w:val="clear" w:color="auto" w:fill="FFFFFF"/>
            </w:rPr>
            <w:t>（二）发展环境</w:t>
          </w:r>
          <w:r>
            <w:tab/>
          </w:r>
          <w:r>
            <w:fldChar w:fldCharType="begin"/>
          </w:r>
          <w:r>
            <w:instrText xml:space="preserve"> PAGEREF _Toc70236873 \h </w:instrText>
          </w:r>
          <w:r>
            <w:fldChar w:fldCharType="separate"/>
          </w:r>
          <w:r>
            <w:t>- 5 -</w:t>
          </w:r>
          <w:r>
            <w:fldChar w:fldCharType="end"/>
          </w:r>
          <w:r>
            <w:fldChar w:fldCharType="end"/>
          </w:r>
        </w:p>
        <w:p>
          <w:pPr>
            <w:pStyle w:val="7"/>
            <w:rPr>
              <w:rFonts w:asciiTheme="minorHAnsi" w:hAnsiTheme="minorHAnsi" w:eastAsiaTheme="minorEastAsia"/>
              <w:szCs w:val="22"/>
              <w:shd w:val="clear" w:color="auto" w:fill="auto"/>
            </w:rPr>
          </w:pPr>
          <w:r>
            <w:fldChar w:fldCharType="begin"/>
          </w:r>
          <w:r>
            <w:instrText xml:space="preserve"> HYPERLINK \l "_Toc70236874" </w:instrText>
          </w:r>
          <w:r>
            <w:fldChar w:fldCharType="separate"/>
          </w:r>
          <w:r>
            <w:rPr>
              <w:rStyle w:val="13"/>
            </w:rPr>
            <w:t>二、总体要求</w:t>
          </w:r>
          <w:r>
            <w:tab/>
          </w:r>
          <w:r>
            <w:fldChar w:fldCharType="begin"/>
          </w:r>
          <w:r>
            <w:instrText xml:space="preserve"> PAGEREF _Toc70236874 \h </w:instrText>
          </w:r>
          <w:r>
            <w:fldChar w:fldCharType="separate"/>
          </w:r>
          <w:r>
            <w:t>- 8 -</w:t>
          </w:r>
          <w:r>
            <w:fldChar w:fldCharType="end"/>
          </w:r>
          <w:r>
            <w:fldChar w:fldCharType="end"/>
          </w:r>
        </w:p>
        <w:p>
          <w:pPr>
            <w:pStyle w:val="9"/>
            <w:tabs>
              <w:tab w:val="right" w:leader="dot" w:pos="8296"/>
            </w:tabs>
          </w:pPr>
          <w:r>
            <w:fldChar w:fldCharType="begin"/>
          </w:r>
          <w:r>
            <w:instrText xml:space="preserve"> HYPERLINK \l "_Toc70236875" </w:instrText>
          </w:r>
          <w:r>
            <w:fldChar w:fldCharType="separate"/>
          </w:r>
          <w:r>
            <w:rPr>
              <w:rStyle w:val="13"/>
              <w:rFonts w:ascii="仿宋" w:hAnsi="仿宋" w:eastAsia="仿宋"/>
              <w:shd w:val="clear" w:color="auto" w:fill="FFFFFF"/>
            </w:rPr>
            <w:t>（一）指导思想</w:t>
          </w:r>
          <w:r>
            <w:tab/>
          </w:r>
          <w:r>
            <w:rPr>
              <w:rFonts w:hint="eastAsia"/>
              <w:lang w:val="en-US" w:eastAsia="zh-CN"/>
            </w:rPr>
            <w:t xml:space="preserve"> </w:t>
          </w:r>
          <w:r>
            <w:fldChar w:fldCharType="begin"/>
          </w:r>
          <w:r>
            <w:instrText xml:space="preserve"> PAGEREF _Toc70236875 \h </w:instrText>
          </w:r>
          <w:r>
            <w:fldChar w:fldCharType="separate"/>
          </w:r>
          <w:r>
            <w:t>- 8 -</w:t>
          </w:r>
          <w:r>
            <w:fldChar w:fldCharType="end"/>
          </w:r>
          <w:r>
            <w:fldChar w:fldCharType="end"/>
          </w:r>
        </w:p>
        <w:p>
          <w:pPr>
            <w:pStyle w:val="9"/>
            <w:tabs>
              <w:tab w:val="right" w:leader="dot" w:pos="8296"/>
            </w:tabs>
          </w:pPr>
          <w:r>
            <w:fldChar w:fldCharType="begin"/>
          </w:r>
          <w:r>
            <w:instrText xml:space="preserve"> HYPERLINK \l "_Toc70236876" </w:instrText>
          </w:r>
          <w:r>
            <w:fldChar w:fldCharType="separate"/>
          </w:r>
          <w:r>
            <w:rPr>
              <w:rStyle w:val="13"/>
              <w:rFonts w:ascii="仿宋" w:hAnsi="仿宋" w:eastAsia="仿宋"/>
              <w:shd w:val="clear" w:color="auto" w:fill="FFFFFF"/>
            </w:rPr>
            <w:t>（二）基本原则</w:t>
          </w:r>
          <w:r>
            <w:tab/>
          </w:r>
          <w:r>
            <w:fldChar w:fldCharType="begin"/>
          </w:r>
          <w:r>
            <w:instrText xml:space="preserve"> PAGEREF _Toc70236876 \h </w:instrText>
          </w:r>
          <w:r>
            <w:fldChar w:fldCharType="separate"/>
          </w:r>
          <w:r>
            <w:t>- 8 -</w:t>
          </w:r>
          <w:r>
            <w:fldChar w:fldCharType="end"/>
          </w:r>
          <w:r>
            <w:fldChar w:fldCharType="end"/>
          </w:r>
        </w:p>
        <w:p>
          <w:pPr>
            <w:pStyle w:val="9"/>
            <w:tabs>
              <w:tab w:val="right" w:leader="dot" w:pos="8296"/>
            </w:tabs>
          </w:pPr>
          <w:r>
            <w:fldChar w:fldCharType="begin"/>
          </w:r>
          <w:r>
            <w:instrText xml:space="preserve"> HYPERLINK \l "_Toc70236877" </w:instrText>
          </w:r>
          <w:r>
            <w:fldChar w:fldCharType="separate"/>
          </w:r>
          <w:r>
            <w:rPr>
              <w:rStyle w:val="13"/>
              <w:rFonts w:ascii="仿宋" w:hAnsi="仿宋" w:eastAsia="仿宋"/>
              <w:shd w:val="clear" w:color="auto" w:fill="FFFFFF"/>
            </w:rPr>
            <w:t>（三）发展目标</w:t>
          </w:r>
          <w:r>
            <w:tab/>
          </w:r>
          <w:r>
            <w:fldChar w:fldCharType="begin"/>
          </w:r>
          <w:r>
            <w:instrText xml:space="preserve"> PAGEREF _Toc70236877 \h </w:instrText>
          </w:r>
          <w:r>
            <w:fldChar w:fldCharType="separate"/>
          </w:r>
          <w:r>
            <w:t>- 11 -</w:t>
          </w:r>
          <w:r>
            <w:fldChar w:fldCharType="end"/>
          </w:r>
          <w:r>
            <w:fldChar w:fldCharType="end"/>
          </w:r>
        </w:p>
        <w:p>
          <w:pPr>
            <w:pStyle w:val="7"/>
            <w:rPr>
              <w:rFonts w:asciiTheme="minorHAnsi" w:hAnsiTheme="minorHAnsi" w:eastAsiaTheme="minorEastAsia"/>
              <w:szCs w:val="22"/>
              <w:shd w:val="clear" w:color="auto" w:fill="auto"/>
            </w:rPr>
          </w:pPr>
          <w:r>
            <w:fldChar w:fldCharType="begin"/>
          </w:r>
          <w:r>
            <w:instrText xml:space="preserve"> HYPERLINK \l "_Toc70236878" </w:instrText>
          </w:r>
          <w:r>
            <w:fldChar w:fldCharType="separate"/>
          </w:r>
          <w:r>
            <w:rPr>
              <w:rStyle w:val="13"/>
            </w:rPr>
            <w:t>三、优化城市发展空间，构建多层次区域协调发展新格局。</w:t>
          </w:r>
          <w:r>
            <w:tab/>
          </w:r>
          <w:r>
            <w:fldChar w:fldCharType="begin"/>
          </w:r>
          <w:r>
            <w:instrText xml:space="preserve"> PAGEREF _Toc70236878 \h </w:instrText>
          </w:r>
          <w:r>
            <w:fldChar w:fldCharType="separate"/>
          </w:r>
          <w:r>
            <w:t>- 14 -</w:t>
          </w:r>
          <w:r>
            <w:fldChar w:fldCharType="end"/>
          </w:r>
          <w:r>
            <w:fldChar w:fldCharType="end"/>
          </w:r>
        </w:p>
        <w:p>
          <w:pPr>
            <w:pStyle w:val="9"/>
            <w:tabs>
              <w:tab w:val="right" w:leader="dot" w:pos="8296"/>
            </w:tabs>
          </w:pPr>
          <w:r>
            <w:fldChar w:fldCharType="begin"/>
          </w:r>
          <w:r>
            <w:instrText xml:space="preserve"> HYPERLINK \l "_Toc70236879" </w:instrText>
          </w:r>
          <w:r>
            <w:fldChar w:fldCharType="separate"/>
          </w:r>
          <w:r>
            <w:rPr>
              <w:rStyle w:val="13"/>
              <w:rFonts w:ascii="仿宋" w:hAnsi="仿宋" w:eastAsia="仿宋"/>
              <w:shd w:val="clear" w:color="auto" w:fill="FFFFFF"/>
            </w:rPr>
            <w:t>（一）优化提升中心城区功能，打造“一主四次”的城市发展格局。</w:t>
          </w:r>
          <w:r>
            <w:tab/>
          </w:r>
          <w:r>
            <w:fldChar w:fldCharType="begin"/>
          </w:r>
          <w:r>
            <w:instrText xml:space="preserve"> PAGEREF _Toc70236879 \h </w:instrText>
          </w:r>
          <w:r>
            <w:fldChar w:fldCharType="separate"/>
          </w:r>
          <w:r>
            <w:t>- 14 -</w:t>
          </w:r>
          <w:r>
            <w:fldChar w:fldCharType="end"/>
          </w:r>
          <w:r>
            <w:fldChar w:fldCharType="end"/>
          </w:r>
        </w:p>
        <w:p>
          <w:pPr>
            <w:pStyle w:val="9"/>
            <w:tabs>
              <w:tab w:val="right" w:leader="dot" w:pos="8296"/>
            </w:tabs>
          </w:pPr>
          <w:r>
            <w:fldChar w:fldCharType="begin"/>
          </w:r>
          <w:r>
            <w:instrText xml:space="preserve"> HYPERLINK \l "_Toc70236880" </w:instrText>
          </w:r>
          <w:r>
            <w:fldChar w:fldCharType="separate"/>
          </w:r>
          <w:r>
            <w:rPr>
              <w:rStyle w:val="13"/>
              <w:rFonts w:ascii="仿宋" w:hAnsi="仿宋" w:eastAsia="仿宋"/>
              <w:shd w:val="clear" w:color="auto" w:fill="FFFFFF"/>
            </w:rPr>
            <w:t>（二）增强城市发展极化效应，带动市域均衡发展。</w:t>
          </w:r>
          <w:r>
            <w:tab/>
          </w:r>
          <w:r>
            <w:fldChar w:fldCharType="begin"/>
          </w:r>
          <w:r>
            <w:instrText xml:space="preserve"> PAGEREF _Toc70236880 \h </w:instrText>
          </w:r>
          <w:r>
            <w:fldChar w:fldCharType="separate"/>
          </w:r>
          <w:r>
            <w:t>- 17 -</w:t>
          </w:r>
          <w:r>
            <w:fldChar w:fldCharType="end"/>
          </w:r>
          <w:r>
            <w:fldChar w:fldCharType="end"/>
          </w:r>
        </w:p>
        <w:p>
          <w:pPr>
            <w:pStyle w:val="9"/>
            <w:tabs>
              <w:tab w:val="right" w:leader="dot" w:pos="8296"/>
            </w:tabs>
          </w:pPr>
          <w:r>
            <w:fldChar w:fldCharType="begin"/>
          </w:r>
          <w:r>
            <w:instrText xml:space="preserve"> HYPERLINK \l "_Toc70236881" </w:instrText>
          </w:r>
          <w:r>
            <w:fldChar w:fldCharType="separate"/>
          </w:r>
          <w:r>
            <w:rPr>
              <w:rStyle w:val="13"/>
              <w:rFonts w:ascii="仿宋" w:hAnsi="仿宋" w:eastAsia="仿宋"/>
              <w:shd w:val="clear" w:color="auto" w:fill="FFFFFF"/>
            </w:rPr>
            <w:t>（三）探索广清一体化发展新模式，打造广州都市圈重点节点城市。</w:t>
          </w:r>
          <w:r>
            <w:tab/>
          </w:r>
          <w:r>
            <w:fldChar w:fldCharType="begin"/>
          </w:r>
          <w:r>
            <w:instrText xml:space="preserve"> PAGEREF _Toc70236881 \h </w:instrText>
          </w:r>
          <w:r>
            <w:fldChar w:fldCharType="separate"/>
          </w:r>
          <w:r>
            <w:t>- 18 -</w:t>
          </w:r>
          <w:r>
            <w:fldChar w:fldCharType="end"/>
          </w:r>
          <w:r>
            <w:fldChar w:fldCharType="end"/>
          </w:r>
        </w:p>
        <w:p>
          <w:pPr>
            <w:pStyle w:val="9"/>
            <w:tabs>
              <w:tab w:val="right" w:leader="dot" w:pos="8296"/>
            </w:tabs>
          </w:pPr>
          <w:r>
            <w:fldChar w:fldCharType="begin"/>
          </w:r>
          <w:r>
            <w:instrText xml:space="preserve"> HYPERLINK \l "_Toc70236882" </w:instrText>
          </w:r>
          <w:r>
            <w:fldChar w:fldCharType="separate"/>
          </w:r>
          <w:r>
            <w:rPr>
              <w:rStyle w:val="13"/>
              <w:rFonts w:ascii="仿宋" w:hAnsi="仿宋" w:eastAsia="仿宋"/>
              <w:shd w:val="clear" w:color="auto" w:fill="FFFFFF"/>
            </w:rPr>
            <w:t>（四）加快推动“入珠融湾”战略，打造省际合作的南北战略枢纽。</w:t>
          </w:r>
          <w:r>
            <w:tab/>
          </w:r>
          <w:r>
            <w:fldChar w:fldCharType="begin"/>
          </w:r>
          <w:r>
            <w:instrText xml:space="preserve"> PAGEREF _Toc70236882 \h </w:instrText>
          </w:r>
          <w:r>
            <w:fldChar w:fldCharType="separate"/>
          </w:r>
          <w:r>
            <w:t>- 19 -</w:t>
          </w:r>
          <w:r>
            <w:fldChar w:fldCharType="end"/>
          </w:r>
          <w:r>
            <w:fldChar w:fldCharType="end"/>
          </w:r>
        </w:p>
        <w:p>
          <w:pPr>
            <w:pStyle w:val="7"/>
            <w:rPr>
              <w:rFonts w:asciiTheme="minorHAnsi" w:hAnsiTheme="minorHAnsi" w:eastAsiaTheme="minorEastAsia"/>
              <w:szCs w:val="22"/>
              <w:shd w:val="clear" w:color="auto" w:fill="auto"/>
            </w:rPr>
          </w:pPr>
          <w:r>
            <w:fldChar w:fldCharType="begin"/>
          </w:r>
          <w:r>
            <w:instrText xml:space="preserve"> HYPERLINK \l "_Toc70236883" </w:instrText>
          </w:r>
          <w:r>
            <w:fldChar w:fldCharType="separate"/>
          </w:r>
          <w:r>
            <w:rPr>
              <w:rStyle w:val="13"/>
            </w:rPr>
            <w:t>四、加快基础设施协同发展，全面提升基础设施保障水平。</w:t>
          </w:r>
          <w:r>
            <w:tab/>
          </w:r>
          <w:r>
            <w:fldChar w:fldCharType="begin"/>
          </w:r>
          <w:r>
            <w:instrText xml:space="preserve"> PAGEREF _Toc70236883 \h </w:instrText>
          </w:r>
          <w:r>
            <w:fldChar w:fldCharType="separate"/>
          </w:r>
          <w:r>
            <w:t>- 21 -</w:t>
          </w:r>
          <w:r>
            <w:fldChar w:fldCharType="end"/>
          </w:r>
          <w:r>
            <w:fldChar w:fldCharType="end"/>
          </w:r>
        </w:p>
        <w:p>
          <w:pPr>
            <w:pStyle w:val="9"/>
            <w:tabs>
              <w:tab w:val="right" w:leader="dot" w:pos="8296"/>
            </w:tabs>
          </w:pPr>
          <w:r>
            <w:fldChar w:fldCharType="begin"/>
          </w:r>
          <w:r>
            <w:instrText xml:space="preserve"> HYPERLINK \l "_Toc70236884" </w:instrText>
          </w:r>
          <w:r>
            <w:fldChar w:fldCharType="separate"/>
          </w:r>
          <w:r>
            <w:rPr>
              <w:rStyle w:val="13"/>
              <w:rFonts w:ascii="仿宋" w:hAnsi="仿宋" w:eastAsia="仿宋"/>
              <w:shd w:val="clear" w:color="auto" w:fill="FFFFFF"/>
            </w:rPr>
            <w:t>（一）推动交通运输网络一体互联，打造南融北拓交通枢纽。</w:t>
          </w:r>
          <w:r>
            <w:tab/>
          </w:r>
          <w:r>
            <w:fldChar w:fldCharType="begin"/>
          </w:r>
          <w:r>
            <w:instrText xml:space="preserve"> PAGEREF _Toc70236884 \h </w:instrText>
          </w:r>
          <w:r>
            <w:fldChar w:fldCharType="separate"/>
          </w:r>
          <w:r>
            <w:t>- 21 -</w:t>
          </w:r>
          <w:r>
            <w:fldChar w:fldCharType="end"/>
          </w:r>
          <w:r>
            <w:fldChar w:fldCharType="end"/>
          </w:r>
        </w:p>
        <w:p>
          <w:pPr>
            <w:pStyle w:val="9"/>
            <w:tabs>
              <w:tab w:val="right" w:leader="dot" w:pos="8296"/>
            </w:tabs>
          </w:pPr>
          <w:r>
            <w:fldChar w:fldCharType="begin"/>
          </w:r>
          <w:r>
            <w:instrText xml:space="preserve"> HYPERLINK \l "_Toc70236885" </w:instrText>
          </w:r>
          <w:r>
            <w:fldChar w:fldCharType="separate"/>
          </w:r>
          <w:r>
            <w:rPr>
              <w:rStyle w:val="13"/>
              <w:rFonts w:ascii="仿宋" w:hAnsi="仿宋" w:eastAsia="仿宋"/>
              <w:shd w:val="clear" w:color="auto" w:fill="FFFFFF"/>
            </w:rPr>
            <w:t>（二）以信息基础设施为抓手，推动新型基础设施协同建设。</w:t>
          </w:r>
          <w:r>
            <w:tab/>
          </w:r>
          <w:r>
            <w:fldChar w:fldCharType="begin"/>
          </w:r>
          <w:r>
            <w:instrText xml:space="preserve"> PAGEREF _Toc70236885 \h </w:instrText>
          </w:r>
          <w:r>
            <w:fldChar w:fldCharType="separate"/>
          </w:r>
          <w:r>
            <w:t>- 22 -</w:t>
          </w:r>
          <w:r>
            <w:fldChar w:fldCharType="end"/>
          </w:r>
          <w:r>
            <w:fldChar w:fldCharType="end"/>
          </w:r>
        </w:p>
        <w:p>
          <w:pPr>
            <w:pStyle w:val="9"/>
            <w:tabs>
              <w:tab w:val="right" w:leader="dot" w:pos="8296"/>
            </w:tabs>
          </w:pPr>
          <w:r>
            <w:fldChar w:fldCharType="begin"/>
          </w:r>
          <w:r>
            <w:instrText xml:space="preserve"> HYPERLINK \l "_Toc70236886" </w:instrText>
          </w:r>
          <w:r>
            <w:fldChar w:fldCharType="separate"/>
          </w:r>
          <w:r>
            <w:rPr>
              <w:rStyle w:val="13"/>
              <w:rFonts w:ascii="仿宋" w:hAnsi="仿宋" w:eastAsia="仿宋"/>
              <w:shd w:val="clear" w:color="auto" w:fill="FFFFFF"/>
            </w:rPr>
            <w:t>（三）建设完善一体化的能源保障体系和水利基础设施。</w:t>
          </w:r>
          <w:r>
            <w:tab/>
          </w:r>
          <w:r>
            <w:fldChar w:fldCharType="begin"/>
          </w:r>
          <w:r>
            <w:instrText xml:space="preserve"> PAGEREF _Toc70236886 \h </w:instrText>
          </w:r>
          <w:r>
            <w:fldChar w:fldCharType="separate"/>
          </w:r>
          <w:r>
            <w:t>- 23 -</w:t>
          </w:r>
          <w:r>
            <w:fldChar w:fldCharType="end"/>
          </w:r>
          <w:r>
            <w:fldChar w:fldCharType="end"/>
          </w:r>
        </w:p>
        <w:p>
          <w:pPr>
            <w:pStyle w:val="7"/>
            <w:rPr>
              <w:rFonts w:asciiTheme="minorHAnsi" w:hAnsiTheme="minorHAnsi" w:eastAsiaTheme="minorEastAsia"/>
              <w:szCs w:val="22"/>
              <w:shd w:val="clear" w:color="auto" w:fill="auto"/>
            </w:rPr>
          </w:pPr>
          <w:r>
            <w:fldChar w:fldCharType="begin"/>
          </w:r>
          <w:r>
            <w:instrText xml:space="preserve"> HYPERLINK \l "_Toc70236887" </w:instrText>
          </w:r>
          <w:r>
            <w:fldChar w:fldCharType="separate"/>
          </w:r>
          <w:r>
            <w:rPr>
              <w:rStyle w:val="13"/>
            </w:rPr>
            <w:t>五、加强互补共建，推进区域产业深度融合发展。</w:t>
          </w:r>
          <w:r>
            <w:tab/>
          </w:r>
          <w:r>
            <w:fldChar w:fldCharType="begin"/>
          </w:r>
          <w:r>
            <w:instrText xml:space="preserve"> PAGEREF _Toc70236887 \h </w:instrText>
          </w:r>
          <w:r>
            <w:fldChar w:fldCharType="separate"/>
          </w:r>
          <w:r>
            <w:t>- 24 -</w:t>
          </w:r>
          <w:r>
            <w:fldChar w:fldCharType="end"/>
          </w:r>
          <w:r>
            <w:fldChar w:fldCharType="end"/>
          </w:r>
        </w:p>
        <w:p>
          <w:pPr>
            <w:pStyle w:val="9"/>
            <w:tabs>
              <w:tab w:val="right" w:leader="dot" w:pos="8296"/>
            </w:tabs>
          </w:pPr>
          <w:r>
            <w:fldChar w:fldCharType="begin"/>
          </w:r>
          <w:r>
            <w:instrText xml:space="preserve"> HYPERLINK \l "_Toc70236888" </w:instrText>
          </w:r>
          <w:r>
            <w:fldChar w:fldCharType="separate"/>
          </w:r>
          <w:r>
            <w:rPr>
              <w:rStyle w:val="13"/>
              <w:rFonts w:ascii="仿宋" w:hAnsi="仿宋" w:eastAsia="仿宋"/>
              <w:shd w:val="clear" w:color="auto" w:fill="FFFFFF"/>
            </w:rPr>
            <w:t>（一）推动广清产业一体化，加快“入珠融湾”步伐。</w:t>
          </w:r>
          <w:r>
            <w:tab/>
          </w:r>
          <w:r>
            <w:fldChar w:fldCharType="begin"/>
          </w:r>
          <w:r>
            <w:instrText xml:space="preserve"> PAGEREF _Toc70236888 \h </w:instrText>
          </w:r>
          <w:r>
            <w:fldChar w:fldCharType="separate"/>
          </w:r>
          <w:r>
            <w:t>- 24 -</w:t>
          </w:r>
          <w:r>
            <w:fldChar w:fldCharType="end"/>
          </w:r>
          <w:r>
            <w:fldChar w:fldCharType="end"/>
          </w:r>
        </w:p>
        <w:p>
          <w:pPr>
            <w:pStyle w:val="9"/>
            <w:tabs>
              <w:tab w:val="right" w:leader="dot" w:pos="8296"/>
            </w:tabs>
          </w:pPr>
          <w:r>
            <w:fldChar w:fldCharType="begin"/>
          </w:r>
          <w:r>
            <w:instrText xml:space="preserve"> HYPERLINK \l "_Toc70236889" </w:instrText>
          </w:r>
          <w:r>
            <w:fldChar w:fldCharType="separate"/>
          </w:r>
          <w:r>
            <w:rPr>
              <w:rStyle w:val="13"/>
              <w:rFonts w:ascii="仿宋" w:hAnsi="仿宋" w:eastAsia="仿宋"/>
              <w:shd w:val="clear" w:color="auto" w:fill="FFFFFF"/>
            </w:rPr>
            <w:t>（二）加快广清产业深度协同，构建区域协同发展的优势产业集群。</w:t>
          </w:r>
          <w:r>
            <w:tab/>
          </w:r>
          <w:r>
            <w:fldChar w:fldCharType="begin"/>
          </w:r>
          <w:r>
            <w:instrText xml:space="preserve"> PAGEREF _Toc70236889 \h </w:instrText>
          </w:r>
          <w:r>
            <w:fldChar w:fldCharType="separate"/>
          </w:r>
          <w:r>
            <w:t>- 27 -</w:t>
          </w:r>
          <w:r>
            <w:fldChar w:fldCharType="end"/>
          </w:r>
          <w:r>
            <w:fldChar w:fldCharType="end"/>
          </w:r>
        </w:p>
        <w:p>
          <w:pPr>
            <w:pStyle w:val="9"/>
            <w:tabs>
              <w:tab w:val="right" w:leader="dot" w:pos="8296"/>
            </w:tabs>
          </w:pPr>
          <w:r>
            <w:fldChar w:fldCharType="begin"/>
          </w:r>
          <w:r>
            <w:instrText xml:space="preserve"> HYPERLINK \l "_Toc70236890" </w:instrText>
          </w:r>
          <w:r>
            <w:fldChar w:fldCharType="separate"/>
          </w:r>
          <w:r>
            <w:rPr>
              <w:rStyle w:val="13"/>
              <w:rFonts w:ascii="仿宋" w:hAnsi="仿宋" w:eastAsia="仿宋"/>
              <w:shd w:val="clear" w:color="auto" w:fill="FFFFFF"/>
            </w:rPr>
            <w:t>（三）共建高质量的产业发展平台和合作载体。</w:t>
          </w:r>
          <w:r>
            <w:tab/>
          </w:r>
          <w:r>
            <w:fldChar w:fldCharType="begin"/>
          </w:r>
          <w:r>
            <w:instrText xml:space="preserve"> PAGEREF _Toc70236890 \h </w:instrText>
          </w:r>
          <w:r>
            <w:fldChar w:fldCharType="separate"/>
          </w:r>
          <w:r>
            <w:t>- 30 -</w:t>
          </w:r>
          <w:r>
            <w:fldChar w:fldCharType="end"/>
          </w:r>
          <w:r>
            <w:fldChar w:fldCharType="end"/>
          </w:r>
        </w:p>
        <w:p>
          <w:pPr>
            <w:pStyle w:val="9"/>
            <w:tabs>
              <w:tab w:val="right" w:leader="dot" w:pos="8296"/>
            </w:tabs>
          </w:pPr>
          <w:r>
            <w:fldChar w:fldCharType="begin"/>
          </w:r>
          <w:r>
            <w:instrText xml:space="preserve"> HYPERLINK \l "_Toc70236891" </w:instrText>
          </w:r>
          <w:r>
            <w:fldChar w:fldCharType="separate"/>
          </w:r>
          <w:r>
            <w:rPr>
              <w:rStyle w:val="13"/>
              <w:rFonts w:ascii="仿宋" w:hAnsi="仿宋" w:eastAsia="仿宋"/>
              <w:shd w:val="clear" w:color="auto" w:fill="FFFFFF"/>
            </w:rPr>
            <w:t>（四）加快协同创新，融入粤港澳大湾区“创新链”。</w:t>
          </w:r>
          <w:r>
            <w:tab/>
          </w:r>
          <w:r>
            <w:fldChar w:fldCharType="begin"/>
          </w:r>
          <w:r>
            <w:instrText xml:space="preserve"> PAGEREF _Toc70236891 \h </w:instrText>
          </w:r>
          <w:r>
            <w:fldChar w:fldCharType="separate"/>
          </w:r>
          <w:r>
            <w:t>- 34 -</w:t>
          </w:r>
          <w:r>
            <w:fldChar w:fldCharType="end"/>
          </w:r>
          <w:r>
            <w:fldChar w:fldCharType="end"/>
          </w:r>
        </w:p>
        <w:p>
          <w:pPr>
            <w:pStyle w:val="7"/>
            <w:rPr>
              <w:rFonts w:asciiTheme="minorHAnsi" w:hAnsiTheme="minorHAnsi" w:eastAsiaTheme="minorEastAsia"/>
              <w:szCs w:val="22"/>
              <w:shd w:val="clear" w:color="auto" w:fill="auto"/>
            </w:rPr>
          </w:pPr>
          <w:r>
            <w:fldChar w:fldCharType="begin"/>
          </w:r>
          <w:r>
            <w:instrText xml:space="preserve"> HYPERLINK \l "_Toc70236892" </w:instrText>
          </w:r>
          <w:r>
            <w:fldChar w:fldCharType="separate"/>
          </w:r>
          <w:r>
            <w:rPr>
              <w:rStyle w:val="13"/>
            </w:rPr>
            <w:t>六、推动生态环境共保联治，实现绿色低碳发展。</w:t>
          </w:r>
          <w:r>
            <w:tab/>
          </w:r>
          <w:r>
            <w:fldChar w:fldCharType="begin"/>
          </w:r>
          <w:r>
            <w:instrText xml:space="preserve"> PAGEREF _Toc70236892 \h </w:instrText>
          </w:r>
          <w:r>
            <w:fldChar w:fldCharType="separate"/>
          </w:r>
          <w:r>
            <w:t>- 35 -</w:t>
          </w:r>
          <w:r>
            <w:fldChar w:fldCharType="end"/>
          </w:r>
          <w:r>
            <w:fldChar w:fldCharType="end"/>
          </w:r>
        </w:p>
        <w:p>
          <w:pPr>
            <w:pStyle w:val="9"/>
            <w:tabs>
              <w:tab w:val="right" w:leader="dot" w:pos="8296"/>
            </w:tabs>
          </w:pPr>
          <w:r>
            <w:fldChar w:fldCharType="begin"/>
          </w:r>
          <w:r>
            <w:instrText xml:space="preserve"> HYPERLINK \l "_Toc70236893" </w:instrText>
          </w:r>
          <w:r>
            <w:fldChar w:fldCharType="separate"/>
          </w:r>
          <w:r>
            <w:rPr>
              <w:rStyle w:val="13"/>
              <w:rFonts w:ascii="仿宋" w:hAnsi="仿宋" w:eastAsia="仿宋"/>
              <w:shd w:val="clear" w:color="auto" w:fill="FFFFFF"/>
            </w:rPr>
            <w:t>（一）提高生态环境协同治理能力。</w:t>
          </w:r>
          <w:r>
            <w:tab/>
          </w:r>
          <w:r>
            <w:fldChar w:fldCharType="begin"/>
          </w:r>
          <w:r>
            <w:instrText xml:space="preserve"> PAGEREF _Toc70236893 \h </w:instrText>
          </w:r>
          <w:r>
            <w:fldChar w:fldCharType="separate"/>
          </w:r>
          <w:r>
            <w:t>- 35 -</w:t>
          </w:r>
          <w:r>
            <w:fldChar w:fldCharType="end"/>
          </w:r>
          <w:r>
            <w:fldChar w:fldCharType="end"/>
          </w:r>
        </w:p>
        <w:p>
          <w:pPr>
            <w:pStyle w:val="9"/>
            <w:tabs>
              <w:tab w:val="right" w:leader="dot" w:pos="8296"/>
            </w:tabs>
          </w:pPr>
          <w:r>
            <w:fldChar w:fldCharType="begin"/>
          </w:r>
          <w:r>
            <w:instrText xml:space="preserve"> HYPERLINK \l "_Toc70236894" </w:instrText>
          </w:r>
          <w:r>
            <w:fldChar w:fldCharType="separate"/>
          </w:r>
          <w:r>
            <w:rPr>
              <w:rStyle w:val="13"/>
              <w:rFonts w:ascii="仿宋" w:hAnsi="仿宋" w:eastAsia="仿宋"/>
              <w:shd w:val="clear" w:color="auto" w:fill="FFFFFF"/>
            </w:rPr>
            <w:t>（二）深化区域生态协调发展机制改革。</w:t>
          </w:r>
          <w:r>
            <w:tab/>
          </w:r>
          <w:r>
            <w:fldChar w:fldCharType="begin"/>
          </w:r>
          <w:r>
            <w:instrText xml:space="preserve"> PAGEREF _Toc70236894 \h </w:instrText>
          </w:r>
          <w:r>
            <w:fldChar w:fldCharType="separate"/>
          </w:r>
          <w:r>
            <w:t>- 36 -</w:t>
          </w:r>
          <w:r>
            <w:fldChar w:fldCharType="end"/>
          </w:r>
          <w:r>
            <w:fldChar w:fldCharType="end"/>
          </w:r>
        </w:p>
        <w:p>
          <w:pPr>
            <w:pStyle w:val="9"/>
            <w:tabs>
              <w:tab w:val="right" w:leader="dot" w:pos="8296"/>
            </w:tabs>
          </w:pPr>
          <w:r>
            <w:fldChar w:fldCharType="begin"/>
          </w:r>
          <w:r>
            <w:instrText xml:space="preserve"> HYPERLINK \l "_Toc70236895" </w:instrText>
          </w:r>
          <w:r>
            <w:fldChar w:fldCharType="separate"/>
          </w:r>
          <w:r>
            <w:rPr>
              <w:rStyle w:val="13"/>
              <w:rFonts w:ascii="仿宋" w:hAnsi="仿宋" w:eastAsia="仿宋"/>
              <w:shd w:val="clear" w:color="auto" w:fill="FFFFFF"/>
            </w:rPr>
            <w:t>（三）形成绿色低碳发展模式，构建环湾区生态高地。</w:t>
          </w:r>
          <w:r>
            <w:tab/>
          </w:r>
          <w:r>
            <w:fldChar w:fldCharType="begin"/>
          </w:r>
          <w:r>
            <w:instrText xml:space="preserve"> PAGEREF _Toc70236895 \h </w:instrText>
          </w:r>
          <w:r>
            <w:fldChar w:fldCharType="separate"/>
          </w:r>
          <w:r>
            <w:t>- 37 -</w:t>
          </w:r>
          <w:r>
            <w:fldChar w:fldCharType="end"/>
          </w:r>
          <w:r>
            <w:fldChar w:fldCharType="end"/>
          </w:r>
        </w:p>
        <w:p>
          <w:pPr>
            <w:pStyle w:val="7"/>
            <w:rPr>
              <w:rFonts w:asciiTheme="minorHAnsi" w:hAnsiTheme="minorHAnsi" w:eastAsiaTheme="minorEastAsia"/>
              <w:szCs w:val="22"/>
              <w:shd w:val="clear" w:color="auto" w:fill="auto"/>
            </w:rPr>
          </w:pPr>
          <w:r>
            <w:fldChar w:fldCharType="begin"/>
          </w:r>
          <w:r>
            <w:instrText xml:space="preserve"> HYPERLINK \l "_Toc70236896" </w:instrText>
          </w:r>
          <w:r>
            <w:fldChar w:fldCharType="separate"/>
          </w:r>
          <w:r>
            <w:rPr>
              <w:rStyle w:val="13"/>
            </w:rPr>
            <w:t>七、加快建设国家城乡融合发展试验区，推进城乡一体化。</w:t>
          </w:r>
          <w:r>
            <w:tab/>
          </w:r>
          <w:r>
            <w:fldChar w:fldCharType="begin"/>
          </w:r>
          <w:r>
            <w:instrText xml:space="preserve"> PAGEREF _Toc70236896 \h </w:instrText>
          </w:r>
          <w:r>
            <w:fldChar w:fldCharType="separate"/>
          </w:r>
          <w:r>
            <w:t>- 38 -</w:t>
          </w:r>
          <w:r>
            <w:fldChar w:fldCharType="end"/>
          </w:r>
          <w:r>
            <w:fldChar w:fldCharType="end"/>
          </w:r>
        </w:p>
        <w:p>
          <w:pPr>
            <w:pStyle w:val="9"/>
            <w:tabs>
              <w:tab w:val="right" w:leader="dot" w:pos="8296"/>
            </w:tabs>
          </w:pPr>
          <w:r>
            <w:fldChar w:fldCharType="begin"/>
          </w:r>
          <w:r>
            <w:instrText xml:space="preserve"> HYPERLINK \l "_Toc70236897" </w:instrText>
          </w:r>
          <w:r>
            <w:fldChar w:fldCharType="separate"/>
          </w:r>
          <w:r>
            <w:rPr>
              <w:rStyle w:val="13"/>
              <w:rFonts w:ascii="仿宋" w:hAnsi="仿宋" w:eastAsia="仿宋"/>
              <w:shd w:val="clear" w:color="auto" w:fill="FFFFFF"/>
            </w:rPr>
            <w:t>（一）深入实施乡村振兴战略，培育城乡产业协同发展新载体。</w:t>
          </w:r>
          <w:r>
            <w:tab/>
          </w:r>
          <w:r>
            <w:fldChar w:fldCharType="begin"/>
          </w:r>
          <w:r>
            <w:instrText xml:space="preserve"> PAGEREF _Toc70236897 \h </w:instrText>
          </w:r>
          <w:r>
            <w:fldChar w:fldCharType="separate"/>
          </w:r>
          <w:r>
            <w:t>- 38 -</w:t>
          </w:r>
          <w:r>
            <w:fldChar w:fldCharType="end"/>
          </w:r>
          <w:r>
            <w:fldChar w:fldCharType="end"/>
          </w:r>
        </w:p>
        <w:p>
          <w:pPr>
            <w:pStyle w:val="9"/>
            <w:tabs>
              <w:tab w:val="right" w:leader="dot" w:pos="8296"/>
            </w:tabs>
          </w:pPr>
          <w:r>
            <w:fldChar w:fldCharType="begin"/>
          </w:r>
          <w:r>
            <w:instrText xml:space="preserve"> HYPERLINK \l "_Toc70236898" </w:instrText>
          </w:r>
          <w:r>
            <w:fldChar w:fldCharType="separate"/>
          </w:r>
          <w:r>
            <w:rPr>
              <w:rStyle w:val="13"/>
              <w:rFonts w:ascii="仿宋" w:hAnsi="仿宋" w:eastAsia="仿宋"/>
              <w:shd w:val="clear" w:color="auto" w:fill="FFFFFF"/>
            </w:rPr>
            <w:t>（二）推进城乡基础设施一体化，实现公共服务普惠共享。</w:t>
          </w:r>
          <w:r>
            <w:tab/>
          </w:r>
          <w:r>
            <w:fldChar w:fldCharType="begin"/>
          </w:r>
          <w:r>
            <w:instrText xml:space="preserve"> PAGEREF _Toc70236898 \h </w:instrText>
          </w:r>
          <w:r>
            <w:fldChar w:fldCharType="separate"/>
          </w:r>
          <w:r>
            <w:t>- 39 -</w:t>
          </w:r>
          <w:r>
            <w:fldChar w:fldCharType="end"/>
          </w:r>
          <w:r>
            <w:fldChar w:fldCharType="end"/>
          </w:r>
        </w:p>
        <w:p>
          <w:pPr>
            <w:pStyle w:val="9"/>
            <w:tabs>
              <w:tab w:val="right" w:leader="dot" w:pos="8296"/>
            </w:tabs>
          </w:pPr>
          <w:r>
            <w:fldChar w:fldCharType="begin"/>
          </w:r>
          <w:r>
            <w:instrText xml:space="preserve"> HYPERLINK \l "_Toc70236899" </w:instrText>
          </w:r>
          <w:r>
            <w:fldChar w:fldCharType="separate"/>
          </w:r>
          <w:r>
            <w:rPr>
              <w:rStyle w:val="13"/>
              <w:rFonts w:ascii="仿宋" w:hAnsi="仿宋" w:eastAsia="仿宋"/>
              <w:shd w:val="clear" w:color="auto" w:fill="FFFFFF"/>
            </w:rPr>
            <w:t>（三）促进城乡要素自由流动和合理配置。</w:t>
          </w:r>
          <w:r>
            <w:tab/>
          </w:r>
          <w:r>
            <w:fldChar w:fldCharType="begin"/>
          </w:r>
          <w:r>
            <w:instrText xml:space="preserve"> PAGEREF _Toc70236899 \h </w:instrText>
          </w:r>
          <w:r>
            <w:fldChar w:fldCharType="separate"/>
          </w:r>
          <w:r>
            <w:t>- 40 -</w:t>
          </w:r>
          <w:r>
            <w:fldChar w:fldCharType="end"/>
          </w:r>
          <w:r>
            <w:fldChar w:fldCharType="end"/>
          </w:r>
        </w:p>
        <w:p>
          <w:pPr>
            <w:pStyle w:val="9"/>
            <w:tabs>
              <w:tab w:val="right" w:leader="dot" w:pos="8296"/>
            </w:tabs>
          </w:pPr>
          <w:r>
            <w:fldChar w:fldCharType="begin"/>
          </w:r>
          <w:r>
            <w:instrText xml:space="preserve"> HYPERLINK \l "_Toc70236900" </w:instrText>
          </w:r>
          <w:r>
            <w:fldChar w:fldCharType="separate"/>
          </w:r>
          <w:r>
            <w:rPr>
              <w:rStyle w:val="13"/>
              <w:rFonts w:ascii="仿宋" w:hAnsi="仿宋" w:eastAsia="仿宋"/>
              <w:shd w:val="clear" w:color="auto" w:fill="FFFFFF"/>
            </w:rPr>
            <w:t>（四）全域推进农村环境治理，建设生态宜居美丽乡村。</w:t>
          </w:r>
          <w:r>
            <w:tab/>
          </w:r>
          <w:r>
            <w:fldChar w:fldCharType="begin"/>
          </w:r>
          <w:r>
            <w:instrText xml:space="preserve"> PAGEREF _Toc70236900 \h </w:instrText>
          </w:r>
          <w:r>
            <w:fldChar w:fldCharType="separate"/>
          </w:r>
          <w:r>
            <w:t>- 43 -</w:t>
          </w:r>
          <w:r>
            <w:fldChar w:fldCharType="end"/>
          </w:r>
          <w:r>
            <w:fldChar w:fldCharType="end"/>
          </w:r>
        </w:p>
        <w:p>
          <w:pPr>
            <w:pStyle w:val="7"/>
            <w:rPr>
              <w:rFonts w:asciiTheme="minorHAnsi" w:hAnsiTheme="minorHAnsi" w:eastAsiaTheme="minorEastAsia"/>
              <w:szCs w:val="22"/>
              <w:shd w:val="clear" w:color="auto" w:fill="auto"/>
            </w:rPr>
          </w:pPr>
          <w:r>
            <w:fldChar w:fldCharType="begin"/>
          </w:r>
          <w:r>
            <w:instrText xml:space="preserve"> HYPERLINK \l "_Toc70236901" </w:instrText>
          </w:r>
          <w:r>
            <w:fldChar w:fldCharType="separate"/>
          </w:r>
          <w:r>
            <w:rPr>
              <w:rStyle w:val="13"/>
            </w:rPr>
            <w:t>八、完善民生保障制度，实现基本公共服务均衡共享。</w:t>
          </w:r>
          <w:r>
            <w:tab/>
          </w:r>
          <w:r>
            <w:fldChar w:fldCharType="begin"/>
          </w:r>
          <w:r>
            <w:instrText xml:space="preserve"> PAGEREF _Toc70236901 \h </w:instrText>
          </w:r>
          <w:r>
            <w:fldChar w:fldCharType="separate"/>
          </w:r>
          <w:r>
            <w:t>- 44 -</w:t>
          </w:r>
          <w:r>
            <w:fldChar w:fldCharType="end"/>
          </w:r>
          <w:r>
            <w:fldChar w:fldCharType="end"/>
          </w:r>
        </w:p>
        <w:p>
          <w:pPr>
            <w:pStyle w:val="9"/>
            <w:tabs>
              <w:tab w:val="right" w:leader="dot" w:pos="8296"/>
            </w:tabs>
          </w:pPr>
          <w:r>
            <w:fldChar w:fldCharType="begin"/>
          </w:r>
          <w:r>
            <w:instrText xml:space="preserve"> HYPERLINK \l "_Toc70236902" </w:instrText>
          </w:r>
          <w:r>
            <w:fldChar w:fldCharType="separate"/>
          </w:r>
          <w:r>
            <w:rPr>
              <w:rStyle w:val="13"/>
              <w:rFonts w:ascii="仿宋" w:hAnsi="仿宋" w:eastAsia="仿宋"/>
              <w:shd w:val="clear" w:color="auto" w:fill="FFFFFF"/>
            </w:rPr>
            <w:t>（一）推动区域优质教育资源合作，实现教育均衡发展。</w:t>
          </w:r>
          <w:r>
            <w:tab/>
          </w:r>
          <w:r>
            <w:fldChar w:fldCharType="begin"/>
          </w:r>
          <w:r>
            <w:instrText xml:space="preserve"> PAGEREF _Toc70236902 \h </w:instrText>
          </w:r>
          <w:r>
            <w:fldChar w:fldCharType="separate"/>
          </w:r>
          <w:r>
            <w:t>- 44 -</w:t>
          </w:r>
          <w:r>
            <w:fldChar w:fldCharType="end"/>
          </w:r>
          <w:r>
            <w:fldChar w:fldCharType="end"/>
          </w:r>
        </w:p>
        <w:p>
          <w:pPr>
            <w:pStyle w:val="9"/>
            <w:tabs>
              <w:tab w:val="right" w:leader="dot" w:pos="8296"/>
            </w:tabs>
          </w:pPr>
          <w:r>
            <w:fldChar w:fldCharType="begin"/>
          </w:r>
          <w:r>
            <w:instrText xml:space="preserve"> HYPERLINK \l "_Toc70236903" </w:instrText>
          </w:r>
          <w:r>
            <w:fldChar w:fldCharType="separate"/>
          </w:r>
          <w:r>
            <w:rPr>
              <w:rStyle w:val="13"/>
              <w:rFonts w:ascii="仿宋" w:hAnsi="仿宋" w:eastAsia="仿宋"/>
              <w:shd w:val="clear" w:color="auto" w:fill="FFFFFF"/>
            </w:rPr>
            <w:t>（二）推进基本医疗卫生服务均等化，强化医疗卫生保障。</w:t>
          </w:r>
          <w:r>
            <w:tab/>
          </w:r>
          <w:r>
            <w:fldChar w:fldCharType="begin"/>
          </w:r>
          <w:r>
            <w:instrText xml:space="preserve"> PAGEREF _Toc70236903 \h </w:instrText>
          </w:r>
          <w:r>
            <w:fldChar w:fldCharType="separate"/>
          </w:r>
          <w:r>
            <w:t>- 46 -</w:t>
          </w:r>
          <w:r>
            <w:fldChar w:fldCharType="end"/>
          </w:r>
          <w:r>
            <w:fldChar w:fldCharType="end"/>
          </w:r>
        </w:p>
        <w:p>
          <w:pPr>
            <w:pStyle w:val="9"/>
            <w:tabs>
              <w:tab w:val="right" w:leader="dot" w:pos="8296"/>
            </w:tabs>
          </w:pPr>
          <w:r>
            <w:fldChar w:fldCharType="begin"/>
          </w:r>
          <w:r>
            <w:instrText xml:space="preserve"> HYPERLINK \l "_Toc70236904" </w:instrText>
          </w:r>
          <w:r>
            <w:fldChar w:fldCharType="separate"/>
          </w:r>
          <w:r>
            <w:rPr>
              <w:rStyle w:val="13"/>
              <w:rFonts w:ascii="仿宋" w:hAnsi="仿宋" w:eastAsia="仿宋"/>
              <w:shd w:val="clear" w:color="auto" w:fill="FFFFFF"/>
            </w:rPr>
            <w:t>（三）加快社保一体化改革，健全社会保障体系。</w:t>
          </w:r>
          <w:r>
            <w:tab/>
          </w:r>
          <w:r>
            <w:fldChar w:fldCharType="begin"/>
          </w:r>
          <w:r>
            <w:instrText xml:space="preserve"> PAGEREF _Toc70236904 \h </w:instrText>
          </w:r>
          <w:r>
            <w:fldChar w:fldCharType="separate"/>
          </w:r>
          <w:r>
            <w:t>- 46 -</w:t>
          </w:r>
          <w:r>
            <w:fldChar w:fldCharType="end"/>
          </w:r>
          <w:r>
            <w:fldChar w:fldCharType="end"/>
          </w:r>
        </w:p>
        <w:p>
          <w:pPr>
            <w:pStyle w:val="9"/>
            <w:tabs>
              <w:tab w:val="right" w:leader="dot" w:pos="8296"/>
            </w:tabs>
          </w:pPr>
          <w:r>
            <w:fldChar w:fldCharType="begin"/>
          </w:r>
          <w:r>
            <w:instrText xml:space="preserve"> HYPERLINK \l "_Toc70236905" </w:instrText>
          </w:r>
          <w:r>
            <w:fldChar w:fldCharType="separate"/>
          </w:r>
          <w:r>
            <w:rPr>
              <w:rStyle w:val="13"/>
              <w:rFonts w:ascii="仿宋" w:hAnsi="仿宋" w:eastAsia="仿宋"/>
              <w:shd w:val="clear" w:color="auto" w:fill="FFFFFF"/>
            </w:rPr>
            <w:t>（四）加强文化资源交流共享，完善现代公共文化服务体系。</w:t>
          </w:r>
          <w:r>
            <w:tab/>
          </w:r>
          <w:r>
            <w:fldChar w:fldCharType="begin"/>
          </w:r>
          <w:r>
            <w:instrText xml:space="preserve"> PAGEREF _Toc70236905 \h </w:instrText>
          </w:r>
          <w:r>
            <w:fldChar w:fldCharType="separate"/>
          </w:r>
          <w:r>
            <w:t>- 47 -</w:t>
          </w:r>
          <w:r>
            <w:fldChar w:fldCharType="end"/>
          </w:r>
          <w:r>
            <w:fldChar w:fldCharType="end"/>
          </w:r>
        </w:p>
        <w:p>
          <w:pPr>
            <w:pStyle w:val="7"/>
            <w:rPr>
              <w:rFonts w:asciiTheme="minorHAnsi" w:hAnsiTheme="minorHAnsi" w:eastAsiaTheme="minorEastAsia"/>
              <w:szCs w:val="22"/>
              <w:shd w:val="clear" w:color="auto" w:fill="auto"/>
            </w:rPr>
          </w:pPr>
          <w:r>
            <w:fldChar w:fldCharType="begin"/>
          </w:r>
          <w:r>
            <w:instrText xml:space="preserve"> HYPERLINK \l "_Toc70236906" </w:instrText>
          </w:r>
          <w:r>
            <w:fldChar w:fldCharType="separate"/>
          </w:r>
          <w:r>
            <w:rPr>
              <w:rStyle w:val="13"/>
            </w:rPr>
            <w:t>九、优化营商环境，提升市场一体化水平。</w:t>
          </w:r>
          <w:r>
            <w:tab/>
          </w:r>
          <w:r>
            <w:fldChar w:fldCharType="begin"/>
          </w:r>
          <w:r>
            <w:instrText xml:space="preserve"> PAGEREF _Toc70236906 \h </w:instrText>
          </w:r>
          <w:r>
            <w:fldChar w:fldCharType="separate"/>
          </w:r>
          <w:r>
            <w:t>- 47 -</w:t>
          </w:r>
          <w:r>
            <w:fldChar w:fldCharType="end"/>
          </w:r>
          <w:r>
            <w:fldChar w:fldCharType="end"/>
          </w:r>
        </w:p>
        <w:p>
          <w:pPr>
            <w:pStyle w:val="9"/>
            <w:tabs>
              <w:tab w:val="right" w:leader="dot" w:pos="8296"/>
            </w:tabs>
          </w:pPr>
          <w:r>
            <w:fldChar w:fldCharType="begin"/>
          </w:r>
          <w:r>
            <w:instrText xml:space="preserve"> HYPERLINK \l "_Toc70236907" </w:instrText>
          </w:r>
          <w:r>
            <w:fldChar w:fldCharType="separate"/>
          </w:r>
          <w:r>
            <w:rPr>
              <w:rStyle w:val="13"/>
              <w:rFonts w:ascii="仿宋" w:hAnsi="仿宋" w:eastAsia="仿宋"/>
            </w:rPr>
            <w:t>（一）提高政策协同水平，</w:t>
          </w:r>
          <w:r>
            <w:rPr>
              <w:rStyle w:val="13"/>
              <w:rFonts w:ascii="仿宋" w:hAnsi="仿宋" w:eastAsia="仿宋"/>
              <w:shd w:val="clear" w:color="auto" w:fill="FFFFFF"/>
            </w:rPr>
            <w:t>打造具有竞争力的营商环境。</w:t>
          </w:r>
          <w:r>
            <w:tab/>
          </w:r>
          <w:r>
            <w:fldChar w:fldCharType="begin"/>
          </w:r>
          <w:r>
            <w:instrText xml:space="preserve"> PAGEREF _Toc70236907 \h </w:instrText>
          </w:r>
          <w:r>
            <w:fldChar w:fldCharType="separate"/>
          </w:r>
          <w:r>
            <w:t>- 47 -</w:t>
          </w:r>
          <w:r>
            <w:fldChar w:fldCharType="end"/>
          </w:r>
          <w:r>
            <w:fldChar w:fldCharType="end"/>
          </w:r>
        </w:p>
        <w:p>
          <w:pPr>
            <w:pStyle w:val="9"/>
            <w:tabs>
              <w:tab w:val="right" w:leader="dot" w:pos="8296"/>
            </w:tabs>
          </w:pPr>
          <w:r>
            <w:fldChar w:fldCharType="begin"/>
          </w:r>
          <w:r>
            <w:instrText xml:space="preserve"> HYPERLINK \l "_Toc70236908" </w:instrText>
          </w:r>
          <w:r>
            <w:fldChar w:fldCharType="separate"/>
          </w:r>
          <w:r>
            <w:rPr>
              <w:rStyle w:val="13"/>
              <w:rFonts w:ascii="仿宋" w:hAnsi="仿宋" w:eastAsia="仿宋"/>
            </w:rPr>
            <w:t>（二）提升市场一体化水平，共同开拓国内外市场。</w:t>
          </w:r>
          <w:r>
            <w:tab/>
          </w:r>
          <w:r>
            <w:fldChar w:fldCharType="begin"/>
          </w:r>
          <w:r>
            <w:instrText xml:space="preserve"> PAGEREF _Toc70236908 \h </w:instrText>
          </w:r>
          <w:r>
            <w:fldChar w:fldCharType="separate"/>
          </w:r>
          <w:r>
            <w:t>- 49 -</w:t>
          </w:r>
          <w:r>
            <w:fldChar w:fldCharType="end"/>
          </w:r>
          <w:r>
            <w:fldChar w:fldCharType="end"/>
          </w:r>
        </w:p>
        <w:p>
          <w:pPr>
            <w:pStyle w:val="7"/>
            <w:rPr>
              <w:rFonts w:asciiTheme="minorHAnsi" w:hAnsiTheme="minorHAnsi" w:eastAsiaTheme="minorEastAsia"/>
              <w:szCs w:val="22"/>
              <w:shd w:val="clear" w:color="auto" w:fill="auto"/>
            </w:rPr>
          </w:pPr>
          <w:r>
            <w:fldChar w:fldCharType="begin"/>
          </w:r>
          <w:r>
            <w:instrText xml:space="preserve"> HYPERLINK \l "_Toc70236909" </w:instrText>
          </w:r>
          <w:r>
            <w:fldChar w:fldCharType="separate"/>
          </w:r>
          <w:r>
            <w:rPr>
              <w:rStyle w:val="13"/>
            </w:rPr>
            <w:t>十、体制机制创新</w:t>
          </w:r>
          <w:r>
            <w:tab/>
          </w:r>
          <w:r>
            <w:fldChar w:fldCharType="begin"/>
          </w:r>
          <w:r>
            <w:instrText xml:space="preserve"> PAGEREF _Toc70236909 \h </w:instrText>
          </w:r>
          <w:r>
            <w:fldChar w:fldCharType="separate"/>
          </w:r>
          <w:r>
            <w:t>- 50 -</w:t>
          </w:r>
          <w:r>
            <w:fldChar w:fldCharType="end"/>
          </w:r>
          <w:r>
            <w:fldChar w:fldCharType="end"/>
          </w:r>
        </w:p>
        <w:p>
          <w:pPr>
            <w:pStyle w:val="9"/>
            <w:tabs>
              <w:tab w:val="right" w:leader="dot" w:pos="8296"/>
            </w:tabs>
          </w:pPr>
          <w:r>
            <w:fldChar w:fldCharType="begin"/>
          </w:r>
          <w:r>
            <w:instrText xml:space="preserve"> HYPERLINK \l "_Toc70236910" </w:instrText>
          </w:r>
          <w:r>
            <w:fldChar w:fldCharType="separate"/>
          </w:r>
          <w:r>
            <w:rPr>
              <w:rStyle w:val="13"/>
              <w:rFonts w:ascii="仿宋" w:hAnsi="仿宋" w:eastAsia="仿宋"/>
              <w:shd w:val="clear" w:color="auto" w:fill="FFFFFF"/>
            </w:rPr>
            <w:t>（一）完善区域政府协商合作机制。</w:t>
          </w:r>
          <w:r>
            <w:tab/>
          </w:r>
          <w:r>
            <w:fldChar w:fldCharType="begin"/>
          </w:r>
          <w:r>
            <w:instrText xml:space="preserve"> PAGEREF _Toc70236910 \h </w:instrText>
          </w:r>
          <w:r>
            <w:fldChar w:fldCharType="separate"/>
          </w:r>
          <w:r>
            <w:t>- 50 -</w:t>
          </w:r>
          <w:r>
            <w:fldChar w:fldCharType="end"/>
          </w:r>
          <w:r>
            <w:fldChar w:fldCharType="end"/>
          </w:r>
        </w:p>
        <w:p>
          <w:pPr>
            <w:pStyle w:val="9"/>
            <w:tabs>
              <w:tab w:val="right" w:leader="dot" w:pos="8296"/>
            </w:tabs>
          </w:pPr>
          <w:r>
            <w:fldChar w:fldCharType="begin"/>
          </w:r>
          <w:r>
            <w:instrText xml:space="preserve"> HYPERLINK \l "_Toc70236911" </w:instrText>
          </w:r>
          <w:r>
            <w:fldChar w:fldCharType="separate"/>
          </w:r>
          <w:r>
            <w:rPr>
              <w:rStyle w:val="13"/>
              <w:rFonts w:ascii="仿宋" w:hAnsi="仿宋" w:eastAsia="仿宋"/>
              <w:shd w:val="clear" w:color="auto" w:fill="FFFFFF"/>
            </w:rPr>
            <w:t>（二）创新跨区域项目合作共建机制。</w:t>
          </w:r>
          <w:r>
            <w:tab/>
          </w:r>
          <w:r>
            <w:fldChar w:fldCharType="begin"/>
          </w:r>
          <w:r>
            <w:instrText xml:space="preserve"> PAGEREF _Toc70236911 \h </w:instrText>
          </w:r>
          <w:r>
            <w:fldChar w:fldCharType="separate"/>
          </w:r>
          <w:r>
            <w:t>- 50 -</w:t>
          </w:r>
          <w:r>
            <w:fldChar w:fldCharType="end"/>
          </w:r>
          <w:r>
            <w:fldChar w:fldCharType="end"/>
          </w:r>
        </w:p>
        <w:p>
          <w:pPr>
            <w:pStyle w:val="9"/>
            <w:tabs>
              <w:tab w:val="right" w:leader="dot" w:pos="8296"/>
            </w:tabs>
          </w:pPr>
          <w:r>
            <w:fldChar w:fldCharType="begin"/>
          </w:r>
          <w:r>
            <w:instrText xml:space="preserve"> HYPERLINK \l "_Toc70236912" </w:instrText>
          </w:r>
          <w:r>
            <w:fldChar w:fldCharType="separate"/>
          </w:r>
          <w:r>
            <w:rPr>
              <w:rStyle w:val="13"/>
              <w:rFonts w:ascii="仿宋" w:hAnsi="仿宋" w:eastAsia="仿宋"/>
              <w:shd w:val="clear" w:color="auto" w:fill="FFFFFF"/>
            </w:rPr>
            <w:t>（三）构建跨区域协同创新机制。</w:t>
          </w:r>
          <w:r>
            <w:tab/>
          </w:r>
          <w:r>
            <w:fldChar w:fldCharType="begin"/>
          </w:r>
          <w:r>
            <w:instrText xml:space="preserve"> PAGEREF _Toc70236912 \h </w:instrText>
          </w:r>
          <w:r>
            <w:fldChar w:fldCharType="separate"/>
          </w:r>
          <w:r>
            <w:t>- 51 -</w:t>
          </w:r>
          <w:r>
            <w:fldChar w:fldCharType="end"/>
          </w:r>
          <w:r>
            <w:fldChar w:fldCharType="end"/>
          </w:r>
        </w:p>
        <w:p>
          <w:pPr>
            <w:pStyle w:val="9"/>
            <w:tabs>
              <w:tab w:val="right" w:leader="dot" w:pos="8296"/>
            </w:tabs>
          </w:pPr>
          <w:r>
            <w:fldChar w:fldCharType="begin"/>
          </w:r>
          <w:r>
            <w:instrText xml:space="preserve"> HYPERLINK \l "_Toc70236913" </w:instrText>
          </w:r>
          <w:r>
            <w:fldChar w:fldCharType="separate"/>
          </w:r>
          <w:r>
            <w:rPr>
              <w:rStyle w:val="13"/>
              <w:rFonts w:ascii="仿宋" w:hAnsi="仿宋" w:eastAsia="仿宋"/>
              <w:shd w:val="clear" w:color="auto" w:fill="FFFFFF"/>
            </w:rPr>
            <w:t>（四）完善区域利益共享合作机制。</w:t>
          </w:r>
          <w:r>
            <w:tab/>
          </w:r>
          <w:r>
            <w:fldChar w:fldCharType="begin"/>
          </w:r>
          <w:r>
            <w:instrText xml:space="preserve"> PAGEREF _Toc70236913 \h </w:instrText>
          </w:r>
          <w:r>
            <w:fldChar w:fldCharType="separate"/>
          </w:r>
          <w:r>
            <w:t>- 51 -</w:t>
          </w:r>
          <w:r>
            <w:fldChar w:fldCharType="end"/>
          </w:r>
          <w:r>
            <w:fldChar w:fldCharType="end"/>
          </w:r>
        </w:p>
        <w:p>
          <w:pPr>
            <w:pStyle w:val="9"/>
            <w:tabs>
              <w:tab w:val="right" w:leader="dot" w:pos="8296"/>
            </w:tabs>
          </w:pPr>
          <w:r>
            <w:fldChar w:fldCharType="begin"/>
          </w:r>
          <w:r>
            <w:instrText xml:space="preserve"> HYPERLINK \l "_Toc70236914" </w:instrText>
          </w:r>
          <w:r>
            <w:fldChar w:fldCharType="separate"/>
          </w:r>
          <w:r>
            <w:rPr>
              <w:rStyle w:val="13"/>
              <w:rFonts w:ascii="仿宋" w:hAnsi="仿宋" w:eastAsia="仿宋"/>
              <w:shd w:val="clear" w:color="auto" w:fill="FFFFFF"/>
            </w:rPr>
            <w:t>（五）完善行业组织协调合作机制。</w:t>
          </w:r>
          <w:r>
            <w:tab/>
          </w:r>
          <w:r>
            <w:fldChar w:fldCharType="begin"/>
          </w:r>
          <w:r>
            <w:instrText xml:space="preserve"> PAGEREF _Toc70236914 \h </w:instrText>
          </w:r>
          <w:r>
            <w:fldChar w:fldCharType="separate"/>
          </w:r>
          <w:r>
            <w:t>- 52 -</w:t>
          </w:r>
          <w:r>
            <w:fldChar w:fldCharType="end"/>
          </w:r>
          <w:r>
            <w:fldChar w:fldCharType="end"/>
          </w:r>
        </w:p>
        <w:p>
          <w:pPr>
            <w:pStyle w:val="7"/>
            <w:rPr>
              <w:rFonts w:asciiTheme="minorHAnsi" w:hAnsiTheme="minorHAnsi" w:eastAsiaTheme="minorEastAsia"/>
              <w:szCs w:val="22"/>
              <w:shd w:val="clear" w:color="auto" w:fill="auto"/>
            </w:rPr>
          </w:pPr>
          <w:r>
            <w:fldChar w:fldCharType="begin"/>
          </w:r>
          <w:r>
            <w:instrText xml:space="preserve"> HYPERLINK \l "_Toc70236915" </w:instrText>
          </w:r>
          <w:r>
            <w:fldChar w:fldCharType="separate"/>
          </w:r>
          <w:r>
            <w:rPr>
              <w:rStyle w:val="13"/>
            </w:rPr>
            <w:t>十一、保障措施</w:t>
          </w:r>
          <w:r>
            <w:tab/>
          </w:r>
          <w:r>
            <w:fldChar w:fldCharType="begin"/>
          </w:r>
          <w:r>
            <w:instrText xml:space="preserve"> PAGEREF _Toc70236915 \h </w:instrText>
          </w:r>
          <w:r>
            <w:fldChar w:fldCharType="separate"/>
          </w:r>
          <w:r>
            <w:t>- 52 -</w:t>
          </w:r>
          <w:r>
            <w:fldChar w:fldCharType="end"/>
          </w:r>
          <w:r>
            <w:fldChar w:fldCharType="end"/>
          </w:r>
        </w:p>
        <w:p>
          <w:pPr>
            <w:pStyle w:val="9"/>
            <w:tabs>
              <w:tab w:val="right" w:leader="dot" w:pos="8296"/>
            </w:tabs>
          </w:pPr>
          <w:r>
            <w:fldChar w:fldCharType="begin"/>
          </w:r>
          <w:r>
            <w:instrText xml:space="preserve"> HYPERLINK \l "_Toc70236916" </w:instrText>
          </w:r>
          <w:r>
            <w:fldChar w:fldCharType="separate"/>
          </w:r>
          <w:r>
            <w:rPr>
              <w:rStyle w:val="13"/>
              <w:rFonts w:ascii="仿宋" w:hAnsi="仿宋" w:eastAsia="仿宋"/>
              <w:shd w:val="clear" w:color="auto" w:fill="FFFFFF"/>
            </w:rPr>
            <w:t>（一）加强组织领导</w:t>
          </w:r>
          <w:r>
            <w:tab/>
          </w:r>
          <w:r>
            <w:fldChar w:fldCharType="begin"/>
          </w:r>
          <w:r>
            <w:instrText xml:space="preserve"> PAGEREF _Toc70236916 \h </w:instrText>
          </w:r>
          <w:r>
            <w:fldChar w:fldCharType="separate"/>
          </w:r>
          <w:r>
            <w:t>- 52 -</w:t>
          </w:r>
          <w:r>
            <w:fldChar w:fldCharType="end"/>
          </w:r>
          <w:r>
            <w:fldChar w:fldCharType="end"/>
          </w:r>
        </w:p>
        <w:p>
          <w:pPr>
            <w:pStyle w:val="9"/>
            <w:tabs>
              <w:tab w:val="right" w:leader="dot" w:pos="8296"/>
            </w:tabs>
          </w:pPr>
          <w:r>
            <w:fldChar w:fldCharType="begin"/>
          </w:r>
          <w:r>
            <w:instrText xml:space="preserve"> HYPERLINK \l "_Toc70236917" </w:instrText>
          </w:r>
          <w:r>
            <w:fldChar w:fldCharType="separate"/>
          </w:r>
          <w:r>
            <w:rPr>
              <w:rStyle w:val="13"/>
              <w:rFonts w:ascii="仿宋" w:hAnsi="仿宋" w:eastAsia="仿宋"/>
              <w:shd w:val="clear" w:color="auto" w:fill="FFFFFF"/>
            </w:rPr>
            <w:t>（二）加强重大项目支撑</w:t>
          </w:r>
          <w:r>
            <w:tab/>
          </w:r>
          <w:r>
            <w:fldChar w:fldCharType="begin"/>
          </w:r>
          <w:r>
            <w:instrText xml:space="preserve"> PAGEREF _Toc70236917 \h </w:instrText>
          </w:r>
          <w:r>
            <w:fldChar w:fldCharType="separate"/>
          </w:r>
          <w:r>
            <w:t>- 53 -</w:t>
          </w:r>
          <w:r>
            <w:fldChar w:fldCharType="end"/>
          </w:r>
          <w:r>
            <w:fldChar w:fldCharType="end"/>
          </w:r>
        </w:p>
        <w:p>
          <w:pPr>
            <w:pStyle w:val="9"/>
            <w:tabs>
              <w:tab w:val="right" w:leader="dot" w:pos="8296"/>
            </w:tabs>
          </w:pPr>
          <w:r>
            <w:fldChar w:fldCharType="begin"/>
          </w:r>
          <w:r>
            <w:instrText xml:space="preserve"> HYPERLINK \l "_Toc70236918" </w:instrText>
          </w:r>
          <w:r>
            <w:fldChar w:fldCharType="separate"/>
          </w:r>
          <w:r>
            <w:rPr>
              <w:rStyle w:val="13"/>
              <w:rFonts w:ascii="仿宋" w:hAnsi="仿宋" w:eastAsia="仿宋"/>
              <w:shd w:val="clear" w:color="auto" w:fill="FFFFFF"/>
            </w:rPr>
            <w:t>（三）加大政策支持力度</w:t>
          </w:r>
          <w:r>
            <w:tab/>
          </w:r>
          <w:r>
            <w:fldChar w:fldCharType="begin"/>
          </w:r>
          <w:r>
            <w:instrText xml:space="preserve"> PAGEREF _Toc70236918 \h </w:instrText>
          </w:r>
          <w:r>
            <w:fldChar w:fldCharType="separate"/>
          </w:r>
          <w:r>
            <w:t>- 53 -</w:t>
          </w:r>
          <w:r>
            <w:fldChar w:fldCharType="end"/>
          </w:r>
          <w:r>
            <w:fldChar w:fldCharType="end"/>
          </w:r>
        </w:p>
        <w:p>
          <w:pPr>
            <w:pStyle w:val="9"/>
            <w:tabs>
              <w:tab w:val="right" w:leader="dot" w:pos="8296"/>
            </w:tabs>
          </w:pPr>
          <w:r>
            <w:fldChar w:fldCharType="begin"/>
          </w:r>
          <w:r>
            <w:instrText xml:space="preserve"> HYPERLINK \l "_Toc70236919" </w:instrText>
          </w:r>
          <w:r>
            <w:fldChar w:fldCharType="separate"/>
          </w:r>
          <w:r>
            <w:rPr>
              <w:rStyle w:val="13"/>
              <w:rFonts w:ascii="仿宋" w:hAnsi="仿宋" w:eastAsia="仿宋"/>
              <w:shd w:val="clear" w:color="auto" w:fill="FFFFFF"/>
            </w:rPr>
            <w:t>（四）加强监督考核</w:t>
          </w:r>
          <w:r>
            <w:tab/>
          </w:r>
          <w:r>
            <w:fldChar w:fldCharType="begin"/>
          </w:r>
          <w:r>
            <w:instrText xml:space="preserve"> PAGEREF _Toc70236919 \h </w:instrText>
          </w:r>
          <w:r>
            <w:fldChar w:fldCharType="separate"/>
          </w:r>
          <w:r>
            <w:t>- 53 -</w:t>
          </w:r>
          <w:r>
            <w:fldChar w:fldCharType="end"/>
          </w:r>
          <w:r>
            <w:fldChar w:fldCharType="end"/>
          </w:r>
        </w:p>
        <w:p>
          <w:r>
            <w:rPr>
              <w:b/>
              <w:bCs/>
              <w:lang w:val="zh-CN"/>
            </w:rPr>
            <w:fldChar w:fldCharType="end"/>
          </w:r>
        </w:p>
      </w:sdtContent>
    </w:sdt>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adjustRightInd w:val="0"/>
        <w:snapToGrid w:val="0"/>
        <w:spacing w:before="156" w:beforeLines="50" w:after="156" w:afterLines="50" w:line="360" w:lineRule="auto"/>
        <w:rPr>
          <w:rFonts w:ascii="仿宋" w:hAnsi="仿宋" w:eastAsia="仿宋"/>
          <w:b/>
          <w:bCs/>
          <w:sz w:val="32"/>
          <w:szCs w:val="32"/>
          <w:shd w:val="clear" w:color="auto" w:fill="FFFFFF"/>
        </w:rPr>
      </w:pPr>
    </w:p>
    <w:p>
      <w:pPr>
        <w:pStyle w:val="3"/>
        <w:adjustRightInd w:val="0"/>
        <w:snapToGrid w:val="0"/>
        <w:spacing w:line="360" w:lineRule="auto"/>
        <w:ind w:firstLine="643" w:firstLineChars="200"/>
        <w:rPr>
          <w:rFonts w:ascii="黑体" w:hAnsi="黑体" w:eastAsia="黑体"/>
          <w:sz w:val="32"/>
          <w:szCs w:val="32"/>
          <w:shd w:val="clear" w:color="auto" w:fill="FFFFFF"/>
        </w:rPr>
        <w:sectPr>
          <w:pgSz w:w="11906" w:h="16838"/>
          <w:pgMar w:top="1440" w:right="1800" w:bottom="1440" w:left="1800" w:header="851" w:footer="992" w:gutter="0"/>
          <w:pgNumType w:fmt="numberInDash" w:start="1"/>
          <w:cols w:space="425" w:num="1"/>
          <w:docGrid w:type="lines" w:linePitch="312" w:charSpace="0"/>
        </w:sectPr>
      </w:pPr>
      <w:bookmarkStart w:id="0" w:name="_Toc70236871"/>
    </w:p>
    <w:p>
      <w:pPr>
        <w:pStyle w:val="3"/>
        <w:adjustRightInd w:val="0"/>
        <w:snapToGrid w:val="0"/>
        <w:spacing w:line="360" w:lineRule="auto"/>
        <w:ind w:firstLine="640" w:firstLineChars="200"/>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清远市清城区区域协调发展“十四五”规划，根据《中共清远市清城区委关于制定国民经济和社会发展第十四个五年规划和二〇三五年远景目标的建议》、《清远市清城区国民经济和社会发展第十四个五年规划和二〇三五年远景目标纲要》编制，主要明确“十四五”时期清城区区域协调发展的指导思想、基本原则、发展目标、重点发展领域，是指导我区未来五年区域协调发展的重要文件，也是制定我区未来五年区域协调发展相关政策和安排建设项目的重要依据。</w:t>
      </w:r>
    </w:p>
    <w:p>
      <w:pPr>
        <w:pStyle w:val="3"/>
        <w:adjustRightInd w:val="0"/>
        <w:snapToGrid w:val="0"/>
        <w:spacing w:line="360" w:lineRule="auto"/>
        <w:ind w:firstLine="643" w:firstLineChars="200"/>
        <w:rPr>
          <w:rFonts w:ascii="黑体" w:hAnsi="黑体" w:eastAsia="黑体"/>
          <w:sz w:val="32"/>
          <w:szCs w:val="32"/>
          <w:shd w:val="clear" w:color="auto" w:fill="FFFFFF"/>
        </w:rPr>
      </w:pPr>
      <w:r>
        <w:rPr>
          <w:rFonts w:hint="eastAsia" w:ascii="黑体" w:hAnsi="黑体" w:eastAsia="黑体"/>
          <w:sz w:val="32"/>
          <w:szCs w:val="32"/>
          <w:shd w:val="clear" w:color="auto" w:fill="FFFFFF"/>
        </w:rPr>
        <w:t>一、发展基础与环境</w:t>
      </w:r>
      <w:bookmarkEnd w:id="0"/>
    </w:p>
    <w:p>
      <w:pPr>
        <w:pStyle w:val="4"/>
        <w:adjustRightInd w:val="0"/>
        <w:snapToGrid w:val="0"/>
        <w:spacing w:line="360" w:lineRule="auto"/>
        <w:ind w:firstLine="643" w:firstLineChars="200"/>
        <w:rPr>
          <w:rFonts w:ascii="仿宋" w:hAnsi="仿宋" w:eastAsia="仿宋"/>
          <w:shd w:val="clear" w:color="auto" w:fill="FFFFFF"/>
        </w:rPr>
      </w:pPr>
      <w:bookmarkStart w:id="1" w:name="_Toc70236872"/>
      <w:r>
        <w:rPr>
          <w:rFonts w:hint="eastAsia" w:ascii="仿宋" w:hAnsi="仿宋" w:eastAsia="仿宋"/>
          <w:shd w:val="clear" w:color="auto" w:fill="FFFFFF"/>
        </w:rPr>
        <w:t>（一）发展基础</w:t>
      </w:r>
      <w:bookmarkEnd w:id="1"/>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1、经济保持平稳增长，引领作用不断凸显。</w:t>
      </w:r>
    </w:p>
    <w:p>
      <w:pPr>
        <w:adjustRightInd w:val="0"/>
        <w:snapToGrid w:val="0"/>
        <w:spacing w:line="360" w:lineRule="auto"/>
        <w:ind w:firstLine="640" w:firstLineChars="200"/>
        <w:rPr>
          <w:rFonts w:hint="eastAsia" w:ascii="仿宋" w:hAnsi="仿宋" w:eastAsia="仿宋"/>
          <w:sz w:val="32"/>
          <w:szCs w:val="32"/>
        </w:rPr>
      </w:pPr>
      <w:r>
        <w:rPr>
          <w:rFonts w:hint="eastAsia" w:ascii="仿宋" w:hAnsi="仿宋" w:eastAsia="仿宋"/>
          <w:sz w:val="32"/>
          <w:szCs w:val="32"/>
        </w:rPr>
        <w:t>“十三五”以来，清城区经济运行总体平稳，经济增长保持在合理区间。地区生产总值由2015年的467.68亿元增加到2020年的639.6亿元</w:t>
      </w:r>
      <w:r>
        <w:rPr>
          <w:rFonts w:hint="eastAsia" w:ascii="仿宋" w:hAnsi="仿宋" w:eastAsia="仿宋"/>
          <w:sz w:val="32"/>
          <w:szCs w:val="32"/>
          <w:lang w:eastAsia="zh-CN"/>
        </w:rPr>
        <w:t>，</w:t>
      </w:r>
      <w:r>
        <w:rPr>
          <w:rFonts w:hint="eastAsia" w:ascii="仿宋" w:hAnsi="仿宋" w:eastAsia="仿宋"/>
          <w:sz w:val="32"/>
          <w:szCs w:val="32"/>
        </w:rPr>
        <w:t>年均增长5%，三次产业结构由 2015年</w:t>
      </w:r>
      <w:r>
        <w:rPr>
          <w:rFonts w:hint="eastAsia" w:ascii="仿宋" w:hAnsi="仿宋" w:eastAsia="仿宋"/>
          <w:sz w:val="32"/>
          <w:szCs w:val="32"/>
          <w:lang w:val="en-US" w:eastAsia="zh-CN"/>
        </w:rPr>
        <w:t>的</w:t>
      </w:r>
      <w:r>
        <w:rPr>
          <w:rFonts w:hint="eastAsia" w:ascii="仿宋" w:hAnsi="仿宋" w:eastAsia="仿宋"/>
          <w:sz w:val="32"/>
          <w:szCs w:val="32"/>
        </w:rPr>
        <w:t>4.7：40.5：54.8调整为2020年的4.4：33.6：62.0，固定资产投资年均增长7.6%，一般公共预算收入年均增长1.8%，人均地区生产总值年均增长4.6%。“十三五”期间是质量效益齐升、坚持转型升级的五年。累计安排重点项目268项，完成投资705.74亿元。广清产业园清城片区累计签约项目209个、投（试）产项目59个。高新区进入全国百强。新增技改投资项目464个，投资总额141.93亿元。电子商务交易额达280亿元。华炬科技、金创产业园成为国家级孵化器。天安智谷获评国家级众创空间。新增豪美、东鹏控股两家清远本土A股挂牌上市公司。高企数量增长5.6 倍。助推清远入选“国际美食旅游名城”，成功创建广东省全域旅游示范区。</w:t>
      </w:r>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2、现代产业体系加快建设，产业协作平台不断完善。</w:t>
      </w:r>
    </w:p>
    <w:p>
      <w:pPr>
        <w:adjustRightInd w:val="0"/>
        <w:snapToGrid w:val="0"/>
        <w:spacing w:line="360" w:lineRule="auto"/>
        <w:ind w:firstLine="640" w:firstLineChars="200"/>
        <w:rPr>
          <w:rFonts w:ascii="仿宋" w:hAnsi="仿宋" w:eastAsia="仿宋" w:cs="Times New Roman"/>
          <w:sz w:val="32"/>
          <w:szCs w:val="32"/>
        </w:rPr>
      </w:pPr>
      <w:r>
        <w:rPr>
          <w:rFonts w:hint="eastAsia" w:ascii="仿宋" w:hAnsi="仿宋" w:eastAsia="仿宋" w:cs="仿宋"/>
          <w:b w:val="0"/>
          <w:bCs w:val="0"/>
          <w:color w:val="000000"/>
          <w:sz w:val="32"/>
          <w:szCs w:val="32"/>
        </w:rPr>
        <w:t>“十三五”期间，</w:t>
      </w:r>
      <w:r>
        <w:rPr>
          <w:rFonts w:hint="eastAsia" w:ascii="仿宋" w:hAnsi="仿宋" w:eastAsia="仿宋" w:cs="仿宋"/>
          <w:b w:val="0"/>
          <w:bCs w:val="0"/>
          <w:color w:val="000000"/>
          <w:sz w:val="32"/>
          <w:szCs w:val="32"/>
          <w:lang w:val="en-US" w:eastAsia="zh-CN"/>
        </w:rPr>
        <w:t>清城区</w:t>
      </w:r>
      <w:r>
        <w:rPr>
          <w:rFonts w:hint="eastAsia" w:ascii="仿宋" w:hAnsi="仿宋" w:eastAsia="仿宋" w:cs="仿宋"/>
          <w:b w:val="0"/>
          <w:bCs w:val="0"/>
          <w:color w:val="000000"/>
          <w:sz w:val="32"/>
          <w:szCs w:val="32"/>
        </w:rPr>
        <w:t>紧紧围绕</w:t>
      </w:r>
      <w:r>
        <w:rPr>
          <w:rFonts w:hint="eastAsia" w:ascii="仿宋" w:hAnsi="仿宋" w:eastAsia="仿宋" w:cs="仿宋"/>
          <w:b w:val="0"/>
          <w:bCs w:val="0"/>
          <w:color w:val="000000"/>
          <w:sz w:val="32"/>
          <w:szCs w:val="32"/>
          <w:lang w:val="en-US" w:eastAsia="zh-CN"/>
        </w:rPr>
        <w:t>广清产业园、</w:t>
      </w:r>
      <w:r>
        <w:rPr>
          <w:rFonts w:hint="eastAsia" w:ascii="仿宋" w:hAnsi="仿宋" w:eastAsia="仿宋" w:cs="仿宋"/>
          <w:b w:val="0"/>
          <w:bCs/>
          <w:color w:val="000000"/>
          <w:sz w:val="32"/>
          <w:szCs w:val="32"/>
        </w:rPr>
        <w:t>广清空港现代物流产业新城</w:t>
      </w:r>
      <w:r>
        <w:rPr>
          <w:rFonts w:hint="eastAsia" w:ascii="仿宋" w:hAnsi="仿宋" w:eastAsia="仿宋" w:cs="仿宋"/>
          <w:b w:val="0"/>
          <w:bCs w:val="0"/>
          <w:color w:val="000000"/>
          <w:sz w:val="32"/>
          <w:szCs w:val="32"/>
        </w:rPr>
        <w:t>和互联网+创新产业园（华南声谷）</w:t>
      </w:r>
      <w:r>
        <w:rPr>
          <w:rFonts w:hint="eastAsia" w:ascii="仿宋" w:hAnsi="仿宋" w:eastAsia="仿宋" w:cs="仿宋"/>
          <w:b w:val="0"/>
          <w:bCs w:val="0"/>
          <w:color w:val="000000"/>
          <w:sz w:val="32"/>
          <w:szCs w:val="32"/>
          <w:lang w:val="en-US" w:eastAsia="zh-CN"/>
        </w:rPr>
        <w:t>等</w:t>
      </w:r>
      <w:r>
        <w:rPr>
          <w:rFonts w:hint="eastAsia" w:ascii="仿宋" w:hAnsi="仿宋" w:eastAsia="仿宋" w:cs="仿宋"/>
          <w:b w:val="0"/>
          <w:bCs w:val="0"/>
          <w:color w:val="000000"/>
          <w:sz w:val="32"/>
          <w:szCs w:val="32"/>
        </w:rPr>
        <w:t>产业平台开展招商引资，不断加快</w:t>
      </w:r>
      <w:r>
        <w:rPr>
          <w:rFonts w:hint="eastAsia" w:ascii="仿宋" w:hAnsi="仿宋" w:eastAsia="仿宋" w:cs="仿宋"/>
          <w:b w:val="0"/>
          <w:bCs w:val="0"/>
          <w:color w:val="000000"/>
          <w:sz w:val="32"/>
          <w:szCs w:val="32"/>
          <w:lang w:val="en-US" w:eastAsia="zh-CN"/>
        </w:rPr>
        <w:t>现代产业体系建设</w:t>
      </w:r>
      <w:r>
        <w:rPr>
          <w:rFonts w:hint="eastAsia" w:ascii="仿宋" w:hAnsi="仿宋" w:eastAsia="仿宋" w:cs="仿宋"/>
          <w:b w:val="0"/>
          <w:bCs w:val="0"/>
          <w:color w:val="000000"/>
          <w:sz w:val="32"/>
          <w:szCs w:val="32"/>
        </w:rPr>
        <w:t>，打造推动高质量发展的</w:t>
      </w:r>
      <w:r>
        <w:rPr>
          <w:rFonts w:hint="eastAsia" w:ascii="仿宋" w:hAnsi="仿宋" w:eastAsia="仿宋" w:cs="仿宋"/>
          <w:b w:val="0"/>
          <w:bCs w:val="0"/>
          <w:color w:val="000000"/>
          <w:sz w:val="32"/>
          <w:szCs w:val="32"/>
          <w:lang w:val="en-US" w:eastAsia="zh-CN"/>
        </w:rPr>
        <w:t>强</w:t>
      </w:r>
      <w:r>
        <w:rPr>
          <w:rFonts w:hint="eastAsia" w:ascii="仿宋" w:hAnsi="仿宋" w:eastAsia="仿宋" w:cs="仿宋"/>
          <w:b w:val="0"/>
          <w:bCs w:val="0"/>
          <w:color w:val="000000"/>
          <w:sz w:val="32"/>
          <w:szCs w:val="32"/>
        </w:rPr>
        <w:t>引擎。</w:t>
      </w:r>
      <w:r>
        <w:rPr>
          <w:rFonts w:hint="eastAsia" w:ascii="仿宋" w:hAnsi="仿宋" w:eastAsia="仿宋" w:cs="Times New Roman"/>
          <w:sz w:val="32"/>
          <w:szCs w:val="32"/>
        </w:rPr>
        <w:t>广清两市共同谋划推进广清经济特别合作区建设，形成“一区三园一城”管理模式，其中广清产业园和广清空港现代化物流产业新城落地清城区。广清产业园主要发展先进制造业和现代生产性服务业，现已吸引金发科技、欧派家居、立邦涂料等一批具有支撑作用的龙头产业项目落户清城区，初步形成了现代智能家居、汽车零部件、新材料(精细化工)、高新现代农业生物技术、食品美妆五个产业集群。广清空港现代物流产业新城利用靠近广州白云机场的区位优势和铁路、公路交通基础设施完善的优势，正努力建造成广州、珠三角城市乃至粤港澳大湾区产业协同发展基地。</w:t>
      </w:r>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3、现代交通网络趋于完善，基础设施水平不断提升。</w:t>
      </w:r>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sz w:val="32"/>
          <w:szCs w:val="32"/>
        </w:rPr>
        <w:t>“十三五”以来，</w:t>
      </w:r>
      <w:r>
        <w:rPr>
          <w:rFonts w:hint="eastAsia" w:ascii="仿宋" w:hAnsi="仿宋" w:eastAsia="仿宋" w:cs="Times New Roman"/>
          <w:kern w:val="2"/>
          <w:sz w:val="32"/>
          <w:szCs w:val="32"/>
        </w:rPr>
        <w:t>清城区发挥区位优势，提升核心交通枢纽设施效能。北江水运疏通工作持续推进，北江水运基础设施得到大幅改善。轨道交通稳步推进，广清城轨一期（广州北至清远段）建成并正式通车，全长</w:t>
      </w:r>
      <w:r>
        <w:rPr>
          <w:rFonts w:ascii="仿宋" w:hAnsi="仿宋" w:eastAsia="仿宋" w:cs="Times New Roman"/>
          <w:kern w:val="2"/>
          <w:sz w:val="32"/>
          <w:szCs w:val="32"/>
        </w:rPr>
        <w:t>38.2</w:t>
      </w:r>
      <w:r>
        <w:rPr>
          <w:rFonts w:hint="eastAsia" w:ascii="仿宋" w:hAnsi="仿宋" w:eastAsia="仿宋" w:cs="Times New Roman"/>
          <w:kern w:val="2"/>
          <w:sz w:val="32"/>
          <w:szCs w:val="32"/>
        </w:rPr>
        <w:t>公里，二期工程中清远至省职教城段</w:t>
      </w:r>
      <w:r>
        <w:rPr>
          <w:rFonts w:ascii="仿宋" w:hAnsi="仿宋" w:eastAsia="仿宋" w:cs="Times New Roman"/>
          <w:kern w:val="2"/>
          <w:sz w:val="32"/>
          <w:szCs w:val="32"/>
        </w:rPr>
        <w:t>开工建设</w:t>
      </w:r>
      <w:r>
        <w:rPr>
          <w:rFonts w:hint="eastAsia" w:ascii="仿宋" w:hAnsi="仿宋" w:eastAsia="仿宋" w:cs="Times New Roman"/>
          <w:kern w:val="2"/>
          <w:sz w:val="32"/>
          <w:szCs w:val="32"/>
        </w:rPr>
        <w:t>。广清重（广清永）高铁项目纳入《粤港澳大湾区城际铁路建设规划》并开展前期研究。跨市公路加快建设。佛清从高速公路北段、广连高速实现全面开工。广清大道南延线扩建工程已完成评审工作。佛江高速北延线</w:t>
      </w:r>
      <w:r>
        <w:rPr>
          <w:rFonts w:ascii="仿宋" w:hAnsi="仿宋" w:eastAsia="仿宋" w:cs="Times New Roman"/>
          <w:kern w:val="2"/>
          <w:sz w:val="32"/>
          <w:szCs w:val="32"/>
        </w:rPr>
        <w:t>已纳入省高速公路网规划</w:t>
      </w:r>
      <w:r>
        <w:rPr>
          <w:rFonts w:hint="eastAsia" w:ascii="仿宋" w:hAnsi="仿宋" w:eastAsia="仿宋" w:cs="Times New Roman"/>
          <w:kern w:val="2"/>
          <w:sz w:val="32"/>
          <w:szCs w:val="32"/>
        </w:rPr>
        <w:t>。跨市公交加快开通，清城区至广州市已开通跨市公交线路3条，极大便利了清城区至广州市的市际通行；为推进广东省职教城（清远）建设，解决省职教城师生往返需求，已有3条广州至省职教城的定制班线开通运营。同时，清城区至广州市普通路网衔接进一步完善完成了国道G107、省道S114等一批国省道改造项目。</w:t>
      </w:r>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4、城市扩容提质加速，承载辐射能力不断增强。</w:t>
      </w:r>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“十三五”以来，清城区坚持推进城市品质提升工程，大力实施城市版图拓展、基础设施完善、品位形象提升等工程，</w:t>
      </w:r>
      <w:r>
        <w:rPr>
          <w:rFonts w:hint="eastAsia" w:ascii="仿宋" w:hAnsi="仿宋" w:eastAsia="仿宋"/>
          <w:sz w:val="32"/>
          <w:szCs w:val="32"/>
        </w:rPr>
        <w:t>中心城区扩容提质步伐加快，</w:t>
      </w:r>
      <w:r>
        <w:rPr>
          <w:rFonts w:hint="eastAsia" w:ascii="仿宋" w:hAnsi="仿宋" w:eastAsia="仿宋" w:cs="Times New Roman"/>
          <w:kern w:val="2"/>
          <w:sz w:val="32"/>
          <w:szCs w:val="32"/>
        </w:rPr>
        <w:t>城市新区日渐成熟。城市馆、博物馆、图书馆、科技馆建设加快推进，飞霞山市民公园建成开放，美林湖等特色小镇建设扎实推进，北江“一河两岸”灯光夜景获得群众广泛好评。燕湖新城总体框架基本形成，累计建成公共基础设施项目30个，省职教城一二期建设基本完成，带动中心城区城市建成区达到101.84平方公里，城镇化率提高至85.68%。北江四桥五桥、高接高、汕湛高速清云段等建成通车，广清城轨一期基本建成，北江千吨级航道扩能升级工程清远段3个枢纽、4个船闸建成运行。投入近20亿元资金推进创文创卫，新建一批社区体育公园、污水处理设施、垃圾中转站，改造一批老旧小区、内街背巷、城中村和城乡结合部，为清远市成功创建国家卫生城市、推进新一轮创文奠定了坚实基础。</w:t>
      </w:r>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5、乡村振兴有序推进，城乡统筹步</w:t>
      </w:r>
      <w:bookmarkStart w:id="115" w:name="_GoBack"/>
      <w:bookmarkEnd w:id="115"/>
      <w:r>
        <w:rPr>
          <w:rFonts w:hint="eastAsia" w:ascii="仿宋" w:hAnsi="仿宋" w:eastAsia="仿宋"/>
          <w:b/>
          <w:bCs/>
          <w:sz w:val="32"/>
          <w:szCs w:val="32"/>
          <w:shd w:val="clear" w:color="auto" w:fill="FFFFFF"/>
        </w:rPr>
        <w:t>伐不断加快。</w:t>
      </w:r>
    </w:p>
    <w:p>
      <w:pPr>
        <w:pStyle w:val="17"/>
        <w:adjustRightInd w:val="0"/>
        <w:snapToGrid w:val="0"/>
        <w:spacing w:line="360" w:lineRule="auto"/>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bCs/>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十三五”以来，清城区扎实推进乡村振兴战略，城乡基本公共服务保障和均等化水平稳步提升，国家城乡融合发展试验区清城片区建设全面启动</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乡村振兴战略工作成效明显</w:t>
      </w:r>
      <w:r>
        <w:rPr>
          <w:rFonts w:hint="eastAsia" w:ascii="Times New Roman" w:hAnsi="Times New Roman" w:eastAsia="仿宋_GB2312"/>
          <w:b/>
          <w:bCs/>
          <w:color w:val="000000"/>
          <w:sz w:val="32"/>
          <w:lang w:eastAsia="zh-CN"/>
        </w:rPr>
        <w:t>。</w:t>
      </w:r>
      <w:r>
        <w:rPr>
          <w:rFonts w:hint="eastAsia" w:ascii="Times New Roman" w:hAnsi="Times New Roman" w:eastAsia="仿宋_GB2312"/>
          <w:color w:val="000000"/>
          <w:sz w:val="32"/>
        </w:rPr>
        <w:t>927个自然村达到美丽乡村标准</w:t>
      </w:r>
      <w:r>
        <w:rPr>
          <w:rFonts w:hint="eastAsia" w:ascii="Times New Roman" w:hAnsi="Times New Roman" w:eastAsia="仿宋_GB2312"/>
          <w:color w:val="000000"/>
          <w:sz w:val="32"/>
          <w:lang w:eastAsia="zh-CN"/>
        </w:rPr>
        <w:t>，</w:t>
      </w:r>
      <w:r>
        <w:rPr>
          <w:rFonts w:hint="eastAsia" w:ascii="Times New Roman" w:hAnsi="Times New Roman" w:eastAsia="仿宋_GB2312"/>
          <w:color w:val="000000"/>
          <w:sz w:val="32"/>
        </w:rPr>
        <w:t>6456名相对贫困人口全部脱贫，12个区定困难村全部出列</w:t>
      </w:r>
      <w:r>
        <w:rPr>
          <w:rFonts w:hint="eastAsia" w:ascii="Times New Roman" w:hAnsi="Times New Roman" w:eastAsia="仿宋_GB2312"/>
          <w:color w:val="000000"/>
          <w:sz w:val="32"/>
          <w:lang w:eastAsia="zh-CN"/>
        </w:rPr>
        <w:t>，</w:t>
      </w:r>
      <w:r>
        <w:rPr>
          <w:rFonts w:hint="eastAsia" w:ascii="仿宋" w:hAnsi="仿宋" w:eastAsia="仿宋"/>
          <w:color w:val="000000" w:themeColor="text1"/>
          <w:sz w:val="32"/>
          <w:szCs w:val="32"/>
          <w14:textFill>
            <w14:solidFill>
              <w14:schemeClr w14:val="tx1"/>
            </w14:solidFill>
          </w14:textFill>
        </w:rPr>
        <w:t>累计建成美丽乡村385个，源潭新马、龙塘集美云曼等一批乡村振兴示范区建设扎实推进，龙塘镇、石角镇石歧村被评为第五届全国文明镇（村），4个村庄入选全省首批“国家森林乡村”。农村金融改革加快，基本完成农村土地承包经营权确权登记颁证，农村集体产权制度改革和供销合作社综合改革稳步推进</w:t>
      </w:r>
      <w:r>
        <w:rPr>
          <w:rFonts w:hint="eastAsia" w:ascii="仿宋" w:hAnsi="仿宋" w:eastAsia="仿宋"/>
          <w:color w:val="000000" w:themeColor="text1"/>
          <w:sz w:val="32"/>
          <w:szCs w:val="32"/>
          <w:lang w:eastAsia="zh-CN"/>
          <w14:textFill>
            <w14:solidFill>
              <w14:schemeClr w14:val="tx1"/>
            </w14:solidFill>
          </w14:textFill>
        </w:rPr>
        <w:t>。</w:t>
      </w:r>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6、区域一体化进程加快，协调发展格局不断深化。</w:t>
      </w:r>
    </w:p>
    <w:p>
      <w:pPr>
        <w:pStyle w:val="10"/>
        <w:adjustRightInd w:val="0"/>
        <w:snapToGrid w:val="0"/>
        <w:spacing w:before="0" w:beforeAutospacing="0" w:after="0" w:afterAutospacing="0" w:line="360" w:lineRule="auto"/>
        <w:ind w:firstLine="640" w:firstLineChars="200"/>
        <w:jc w:val="both"/>
        <w:rPr>
          <w:rFonts w:hint="eastAsia" w:ascii="仿宋" w:hAnsi="仿宋" w:eastAsia="仿宋" w:cs="Times New Roman"/>
          <w:kern w:val="2"/>
          <w:sz w:val="32"/>
          <w:szCs w:val="32"/>
          <w:lang w:eastAsia="zh-CN"/>
        </w:rPr>
      </w:pPr>
      <w:r>
        <w:rPr>
          <w:rFonts w:hint="eastAsia" w:ascii="仿宋" w:hAnsi="仿宋" w:eastAsia="仿宋" w:cs="Times New Roman"/>
          <w:kern w:val="2"/>
          <w:sz w:val="32"/>
          <w:szCs w:val="32"/>
        </w:rPr>
        <w:t>“十三五”以来，清城区持续推进广清一体化发展，取得显著效果，一大批项目和平台加快建设，为清城区高质量发展提供了动力和保障，有利于清城区充分发挥毗邻广州的区位优势抢先占位，以“清城所能”主动对接融入“广州所需、湾区所向”</w:t>
      </w:r>
      <w:r>
        <w:rPr>
          <w:rFonts w:hint="eastAsia" w:ascii="仿宋" w:hAnsi="仿宋" w:eastAsia="仿宋" w:cs="Times New Roman"/>
          <w:kern w:val="2"/>
          <w:sz w:val="32"/>
          <w:szCs w:val="32"/>
          <w:lang w:eastAsia="zh-CN"/>
        </w:rPr>
        <w:t>。“</w:t>
      </w:r>
      <w:r>
        <w:rPr>
          <w:rFonts w:hint="eastAsia" w:ascii="仿宋" w:hAnsi="仿宋" w:eastAsia="仿宋" w:cs="Times New Roman"/>
          <w:kern w:val="2"/>
          <w:sz w:val="32"/>
          <w:szCs w:val="32"/>
          <w:lang w:val="en-US" w:eastAsia="zh-CN"/>
        </w:rPr>
        <w:t>十三五”以来，清城区</w:t>
      </w:r>
      <w:r>
        <w:rPr>
          <w:rFonts w:hint="eastAsia" w:ascii="仿宋" w:hAnsi="仿宋" w:eastAsia="仿宋" w:cs="Times New Roman"/>
          <w:kern w:val="2"/>
          <w:sz w:val="32"/>
          <w:szCs w:val="32"/>
        </w:rPr>
        <w:t>通过产业对接、城市对接、交通对接深度参与大广州都市圈建设，打造广清一体化发展先行区，在珠三角近地区域率先突围，完成产业转型升级、新旧动能转换、经济空间拓展、城市布局优化等改革任务，加快清城区“入珠融湾”的步伐。广清城际一期开通运营、二期开工建设，广清产业园清城片区、广清空港现代物流产业新城加快建设，基础设施、产业发展、公共服务一体化全面推进，“入珠融湾”步伐</w:t>
      </w:r>
      <w:r>
        <w:rPr>
          <w:rFonts w:hint="eastAsia" w:ascii="仿宋" w:hAnsi="仿宋" w:eastAsia="仿宋" w:cs="Times New Roman"/>
          <w:kern w:val="2"/>
          <w:sz w:val="32"/>
          <w:szCs w:val="32"/>
          <w:lang w:val="en-US" w:eastAsia="zh-CN"/>
        </w:rPr>
        <w:t>进一步</w:t>
      </w:r>
      <w:r>
        <w:rPr>
          <w:rFonts w:hint="eastAsia" w:ascii="仿宋" w:hAnsi="仿宋" w:eastAsia="仿宋" w:cs="Times New Roman"/>
          <w:kern w:val="2"/>
          <w:sz w:val="32"/>
          <w:szCs w:val="32"/>
        </w:rPr>
        <w:t>加快</w:t>
      </w:r>
      <w:r>
        <w:rPr>
          <w:rFonts w:hint="eastAsia" w:ascii="仿宋" w:hAnsi="仿宋" w:eastAsia="仿宋" w:cs="Times New Roman"/>
          <w:kern w:val="2"/>
          <w:sz w:val="32"/>
          <w:szCs w:val="32"/>
          <w:lang w:eastAsia="zh-CN"/>
        </w:rPr>
        <w:t>。</w:t>
      </w:r>
    </w:p>
    <w:p>
      <w:pPr>
        <w:pStyle w:val="4"/>
        <w:adjustRightInd w:val="0"/>
        <w:snapToGrid w:val="0"/>
        <w:spacing w:line="360" w:lineRule="auto"/>
        <w:ind w:firstLine="643" w:firstLineChars="200"/>
        <w:rPr>
          <w:rFonts w:ascii="仿宋" w:hAnsi="仿宋" w:eastAsia="仿宋"/>
          <w:shd w:val="clear" w:color="auto" w:fill="FFFFFF"/>
        </w:rPr>
      </w:pPr>
      <w:bookmarkStart w:id="2" w:name="_Toc70236873"/>
      <w:r>
        <w:rPr>
          <w:rFonts w:hint="eastAsia" w:ascii="仿宋" w:hAnsi="仿宋" w:eastAsia="仿宋"/>
          <w:shd w:val="clear" w:color="auto" w:fill="FFFFFF"/>
        </w:rPr>
        <w:t>（二）发展环境</w:t>
      </w:r>
      <w:bookmarkEnd w:id="2"/>
    </w:p>
    <w:p>
      <w:pPr>
        <w:adjustRightInd w:val="0"/>
        <w:snapToGrid w:val="0"/>
        <w:spacing w:line="360" w:lineRule="auto"/>
        <w:ind w:firstLine="643" w:firstLineChars="200"/>
        <w:rPr>
          <w:rFonts w:ascii="仿宋" w:hAnsi="仿宋" w:eastAsia="仿宋"/>
          <w:b/>
          <w:bCs/>
          <w:sz w:val="32"/>
          <w:szCs w:val="32"/>
          <w:shd w:val="clear" w:color="auto" w:fill="FFFFFF"/>
        </w:rPr>
      </w:pPr>
      <w:bookmarkStart w:id="3" w:name="_Toc50630581"/>
      <w:bookmarkStart w:id="4" w:name="_Toc47111323"/>
      <w:bookmarkStart w:id="5" w:name="_Toc41396858"/>
      <w:r>
        <w:rPr>
          <w:rFonts w:hint="eastAsia" w:ascii="仿宋" w:hAnsi="仿宋" w:eastAsia="仿宋"/>
          <w:b/>
          <w:bCs/>
          <w:sz w:val="32"/>
          <w:szCs w:val="32"/>
          <w:shd w:val="clear" w:color="auto" w:fill="FFFFFF"/>
        </w:rPr>
        <w:t>1、国际环境</w:t>
      </w:r>
      <w:bookmarkEnd w:id="3"/>
      <w:bookmarkEnd w:id="4"/>
      <w:bookmarkEnd w:id="5"/>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当今世界正处于大发展大变革大调整时期，全球竞争格局进入重塑期，全球科技革命进入加速期，全球产业布局进入调整期，全球贸易模式进入重构期。世界经济复苏依然存在不确定性，全球范围内经贸摩擦骤然增多，政策风险重新上行，基于规则的多边贸易体制被削弱，中美贸易摩擦将可能成为常态，未来美国有可能以各种手段限制对华贸易、投资、技术交流和人员交往等，对我国产业升级带来更大挑战。全球价值链进入大调整、大重塑时期，欧美发达国家推动实施“再工业化”、“制造业复兴”等战略，制造业本土回流趋势明显，特别是高端制造领域的国际竞争日益加剧，东南亚、非洲等新兴经济体也凭借低成本生产优势成为国际制造业转移的新阵地。在全球经济发展不确定性升高的环境下，经济增长下行风险加大，国际循环受到影响，统筹利用国际国内两个市场、两种资源难度加大。</w:t>
      </w:r>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2、国内环境</w:t>
      </w:r>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十四五”时期，我国处在转变发展方式、优化经济结构、转换增长动力的攻关期，结构性、体制性、周期性问题相互交织，“三期叠加”影响持续深化。我国过去以出口为导向的经济增长模式，将转变为以国内大循环为主体、国内国际双循环相互促进的新发展格局，培育内需市场、激发消费潜力将成为国家政策着力点。同时，以电子信息技术为首的新一轮技术革命在国内快速推广，加快了传统工业“互联网+”的步伐，以5G、人工智能、工业互联网、物联网为重点的新基建成为我国“十四五”时期稳增长和促创新并驾齐驱的重要发力点，有力推动“中国制造”向“中国智造”转变。衍生出一大批新产业、新业态和新模式，与国内市场结合带来的巨大内循环经济效益初步显现。</w:t>
      </w:r>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但与此同时，实体经济与虚拟经济发展失衡，存在“脱实向虚”及工业“空心化”风险；劳动力、土地、资源和生态环境约束趋紧，传统制造业部分产业链外移风险可能性加大；创新能力整体不强，一些领域核心技术受制于人的情况依然存在等矛盾问题交织并存，国内经济继续面临下行压力。我国全面深化改革进入深水区，经济由高速增长转向高质量发展，原有的低成本资源优势逐步减弱，结构性矛盾突出，资源环境约束趋紧，新冠疫情导致经济下行压力加大，经济社会发展不协调问题仍然突出。</w:t>
      </w:r>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3、省内环境</w:t>
      </w:r>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随着省委、省政府“1+1+9”工作部署落实落地，“一核一带一区”区域发展新格局有序推进，广州都市圈和广佛肇清云韶经济圈“双圈”加快形成，粤港澳大湾区建设加快，深圳建设中国特色社会主义先行示范区全面推进，“双区驱动效应”持续释放，广清一体化的外部发展环境持续优化。随着广清一体化战略的全面实施，广清经济特别合作区获省批复，广清接合片区纳入国家城乡融合发展试验区，广清一体化将步入发展的快车道。</w:t>
      </w:r>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但由于要素资源本身具备向优势区域集聚的特质，珠三角“虹吸效应”明显，清城区仍面临人才、资金、土地等要素资源的激烈竞争。全省生态环境质量持续好转，经济绿色转型发展步伐加快，但资源能源消耗总量还将进一步增长，生态环境问题累积叠加，局部地区资源环境承载能力已经达到或者接近上限，清城区土地开发强度较高，“缺地用”的问题日益严重。</w:t>
      </w:r>
    </w:p>
    <w:p>
      <w:pPr>
        <w:pStyle w:val="3"/>
        <w:adjustRightInd w:val="0"/>
        <w:snapToGrid w:val="0"/>
        <w:spacing w:line="360" w:lineRule="auto"/>
        <w:ind w:firstLine="643" w:firstLineChars="200"/>
        <w:rPr>
          <w:rFonts w:ascii="黑体" w:hAnsi="黑体" w:eastAsia="黑体"/>
          <w:sz w:val="32"/>
          <w:szCs w:val="32"/>
          <w:shd w:val="clear" w:color="auto" w:fill="FFFFFF"/>
        </w:rPr>
      </w:pPr>
      <w:bookmarkStart w:id="6" w:name="_Toc70236874"/>
      <w:r>
        <w:rPr>
          <w:rFonts w:hint="eastAsia" w:ascii="黑体" w:hAnsi="黑体" w:eastAsia="黑体"/>
          <w:sz w:val="32"/>
          <w:szCs w:val="32"/>
          <w:shd w:val="clear" w:color="auto" w:fill="FFFFFF"/>
        </w:rPr>
        <w:t>二、总体要求</w:t>
      </w:r>
      <w:bookmarkEnd w:id="6"/>
    </w:p>
    <w:p>
      <w:pPr>
        <w:pStyle w:val="4"/>
        <w:adjustRightInd w:val="0"/>
        <w:snapToGrid w:val="0"/>
        <w:spacing w:line="360" w:lineRule="auto"/>
        <w:ind w:firstLine="643" w:firstLineChars="200"/>
        <w:rPr>
          <w:rFonts w:ascii="仿宋" w:hAnsi="仿宋" w:eastAsia="仿宋"/>
          <w:shd w:val="clear" w:color="auto" w:fill="FFFFFF"/>
        </w:rPr>
      </w:pPr>
      <w:bookmarkStart w:id="7" w:name="_Toc420768803"/>
      <w:bookmarkStart w:id="8" w:name="_Toc420770569"/>
      <w:bookmarkStart w:id="9" w:name="_Toc31226"/>
      <w:bookmarkStart w:id="10" w:name="_Toc70236875"/>
      <w:bookmarkStart w:id="11" w:name="_Toc50630586"/>
      <w:bookmarkStart w:id="12" w:name="_Toc47111328"/>
      <w:bookmarkStart w:id="13" w:name="_Toc41396863"/>
      <w:r>
        <w:rPr>
          <w:rFonts w:hint="eastAsia" w:ascii="仿宋" w:hAnsi="仿宋" w:eastAsia="仿宋"/>
          <w:shd w:val="clear" w:color="auto" w:fill="FFFFFF"/>
        </w:rPr>
        <w:t>（一）</w:t>
      </w:r>
      <w:bookmarkEnd w:id="7"/>
      <w:bookmarkEnd w:id="8"/>
      <w:bookmarkEnd w:id="9"/>
      <w:r>
        <w:rPr>
          <w:rFonts w:hint="eastAsia" w:ascii="仿宋" w:hAnsi="仿宋" w:eastAsia="仿宋"/>
          <w:shd w:val="clear" w:color="auto" w:fill="FFFFFF"/>
        </w:rPr>
        <w:t>指导思想</w:t>
      </w:r>
      <w:bookmarkEnd w:id="10"/>
      <w:bookmarkEnd w:id="11"/>
      <w:bookmarkEnd w:id="12"/>
      <w:bookmarkEnd w:id="13"/>
    </w:p>
    <w:p>
      <w:pPr>
        <w:adjustRightInd w:val="0"/>
        <w:snapToGrid w:val="0"/>
        <w:spacing w:line="360" w:lineRule="auto"/>
        <w:ind w:firstLine="640"/>
        <w:rPr>
          <w:rFonts w:ascii="仿宋" w:hAnsi="仿宋" w:eastAsia="仿宋"/>
          <w:sz w:val="32"/>
          <w:szCs w:val="32"/>
          <w:shd w:val="clear" w:color="auto" w:fill="FFFFFF"/>
        </w:rPr>
      </w:pPr>
      <w:bookmarkStart w:id="14" w:name="_Hlk521079183"/>
      <w:r>
        <w:rPr>
          <w:rFonts w:hint="eastAsia" w:ascii="仿宋" w:hAnsi="仿宋" w:eastAsia="仿宋"/>
          <w:sz w:val="32"/>
          <w:szCs w:val="32"/>
          <w:shd w:val="clear" w:color="auto" w:fill="FFFFFF"/>
        </w:rPr>
        <w:t>以习近平新时代中国特色社会主义思想为指导，深入贯彻党的十九大和十九届二中、三中、四中全会精神，全面贯彻落实习近平总书记对广东、清远重要讲话和重要指示批示精神，认真落实国家关于区域协调发展和省关于“一核一带一区”协调发展的部署要求，</w:t>
      </w:r>
      <w:bookmarkEnd w:id="14"/>
      <w:r>
        <w:rPr>
          <w:rFonts w:hint="eastAsia" w:ascii="仿宋" w:hAnsi="仿宋" w:eastAsia="仿宋"/>
          <w:sz w:val="32"/>
          <w:szCs w:val="32"/>
          <w:shd w:val="clear" w:color="auto" w:fill="FFFFFF"/>
        </w:rPr>
        <w:t>认真贯彻落实市委七届十次全会精神和“两市三区”决策部署，围绕打造粤港澳大湾区发展腹地，以打造广州都市圈重要节点城区为定位，以入珠融湾为契机，以城区高质量发展为主线，推动清城区在基础设施、产业、公共服务等领域</w:t>
      </w:r>
      <w:bookmarkStart w:id="15" w:name="_Hlk521079720"/>
      <w:r>
        <w:rPr>
          <w:rFonts w:hint="eastAsia" w:ascii="仿宋" w:hAnsi="仿宋" w:eastAsia="仿宋"/>
          <w:sz w:val="32"/>
          <w:szCs w:val="32"/>
          <w:shd w:val="clear" w:color="auto" w:fill="FFFFFF"/>
        </w:rPr>
        <w:t>实现区域协调发展，形成合作包容、互利共赢的区域一体化格局与城乡新型合作发展模式，带动清远率先全面融入粤港澳大湾区，为促进全省乃至全国区域协调发展提供示范经验。</w:t>
      </w:r>
    </w:p>
    <w:bookmarkEnd w:id="15"/>
    <w:p>
      <w:pPr>
        <w:pStyle w:val="4"/>
        <w:adjustRightInd w:val="0"/>
        <w:snapToGrid w:val="0"/>
        <w:spacing w:line="360" w:lineRule="auto"/>
        <w:ind w:firstLine="643" w:firstLineChars="200"/>
        <w:rPr>
          <w:rFonts w:ascii="仿宋" w:hAnsi="仿宋" w:eastAsia="仿宋"/>
          <w:shd w:val="clear" w:color="auto" w:fill="FFFFFF"/>
        </w:rPr>
      </w:pPr>
      <w:bookmarkStart w:id="16" w:name="_Toc70236876"/>
      <w:r>
        <w:rPr>
          <w:rFonts w:hint="eastAsia" w:ascii="仿宋" w:hAnsi="仿宋" w:eastAsia="仿宋"/>
          <w:shd w:val="clear" w:color="auto" w:fill="FFFFFF"/>
        </w:rPr>
        <w:t>（二）基本原则</w:t>
      </w:r>
      <w:bookmarkEnd w:id="16"/>
    </w:p>
    <w:p>
      <w:pPr>
        <w:adjustRightInd w:val="0"/>
        <w:snapToGrid w:val="0"/>
        <w:spacing w:line="360" w:lineRule="auto"/>
        <w:ind w:firstLine="643" w:firstLineChars="200"/>
        <w:rPr>
          <w:rFonts w:ascii="仿宋" w:hAnsi="仿宋" w:eastAsia="仿宋"/>
          <w:b/>
          <w:bCs/>
          <w:sz w:val="32"/>
          <w:szCs w:val="32"/>
          <w:shd w:val="clear" w:color="auto" w:fill="FFFFFF"/>
        </w:rPr>
      </w:pPr>
      <w:bookmarkStart w:id="17" w:name="_Toc50630588"/>
      <w:r>
        <w:rPr>
          <w:rFonts w:hint="eastAsia" w:ascii="仿宋" w:hAnsi="仿宋" w:eastAsia="仿宋"/>
          <w:b/>
          <w:bCs/>
          <w:sz w:val="32"/>
          <w:szCs w:val="32"/>
          <w:shd w:val="clear" w:color="auto" w:fill="FFFFFF"/>
        </w:rPr>
        <w:t>1、区域整合、协调发展</w:t>
      </w:r>
      <w:bookmarkEnd w:id="17"/>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坚持内外循环、开放发展。准确把握“双循环”新发展格局新特征，坚持实施扩大内需战略同深化供给侧结构性改革有机结合，推动形成全方位全要素、高能级高效率的双循环发展格局，重塑区域合作和竞争新优势。抢抓“粤港澳大湾区、深圳建设中国特色社会主义先行示范区双区驱动”“大广州都市圈、广佛肇清云韶经济圈双圈协同”“一核一带一区”“广清一体化”发展的多重利好叠加效应，发挥区位优势。</w:t>
      </w:r>
    </w:p>
    <w:p>
      <w:pPr>
        <w:adjustRightInd w:val="0"/>
        <w:snapToGrid w:val="0"/>
        <w:spacing w:line="360" w:lineRule="auto"/>
        <w:ind w:firstLine="643" w:firstLineChars="200"/>
        <w:rPr>
          <w:rFonts w:ascii="仿宋" w:hAnsi="仿宋" w:eastAsia="仿宋"/>
          <w:b/>
          <w:bCs/>
          <w:sz w:val="32"/>
          <w:szCs w:val="32"/>
          <w:shd w:val="clear" w:color="auto" w:fill="FFFFFF"/>
        </w:rPr>
      </w:pPr>
      <w:bookmarkStart w:id="18" w:name="_Toc47111331"/>
      <w:bookmarkStart w:id="19" w:name="_Toc50630590"/>
      <w:r>
        <w:rPr>
          <w:rFonts w:hint="eastAsia" w:ascii="仿宋" w:hAnsi="仿宋" w:eastAsia="仿宋"/>
          <w:b/>
          <w:bCs/>
          <w:sz w:val="32"/>
          <w:szCs w:val="32"/>
          <w:shd w:val="clear" w:color="auto" w:fill="FFFFFF"/>
        </w:rPr>
        <w:t>2、</w:t>
      </w:r>
      <w:bookmarkEnd w:id="18"/>
      <w:r>
        <w:rPr>
          <w:rFonts w:hint="eastAsia" w:ascii="仿宋" w:hAnsi="仿宋" w:eastAsia="仿宋"/>
          <w:b/>
          <w:bCs/>
          <w:sz w:val="32"/>
          <w:szCs w:val="32"/>
          <w:shd w:val="clear" w:color="auto" w:fill="FFFFFF"/>
        </w:rPr>
        <w:t>平台共建、创新发展</w:t>
      </w:r>
      <w:bookmarkEnd w:id="19"/>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坚持平台引领、集聚发展。充分发挥重要平台、重点项目引领作用，以广清产业园清城片区、广清空港现代物流产业新城等平台为载体，承接清远国家级高新区的辐射带动作用，创新开发模式、管理模式、机制模式，积极对接广深港澳科技创新走廊，释放创新潜力，加快布局高端高新技术产业，大力推进传统优势产业的数字化、智能化转型，着力培育科技含量高、经济效益好、带动作用的强新兴主导产业，支持本土龙头企业建立企业级平台，支撑引领清城区产业创新发展。</w:t>
      </w:r>
    </w:p>
    <w:p>
      <w:pPr>
        <w:adjustRightInd w:val="0"/>
        <w:snapToGrid w:val="0"/>
        <w:spacing w:line="360" w:lineRule="auto"/>
        <w:ind w:firstLine="643" w:firstLineChars="200"/>
        <w:rPr>
          <w:rFonts w:ascii="仿宋" w:hAnsi="仿宋" w:eastAsia="仿宋"/>
          <w:b/>
          <w:bCs/>
          <w:color w:val="000000" w:themeColor="text1"/>
          <w:sz w:val="32"/>
          <w:szCs w:val="32"/>
          <w:shd w:val="clear" w:color="auto" w:fill="FFFFFF"/>
          <w14:textFill>
            <w14:solidFill>
              <w14:schemeClr w14:val="tx1"/>
            </w14:solidFill>
          </w14:textFill>
        </w:rPr>
      </w:pPr>
      <w:bookmarkStart w:id="20" w:name="_Toc50630589"/>
      <w:bookmarkStart w:id="21" w:name="_Toc47111334"/>
      <w:bookmarkStart w:id="22" w:name="_Toc50630592"/>
      <w:r>
        <w:rPr>
          <w:rFonts w:hint="eastAsia" w:ascii="仿宋" w:hAnsi="仿宋" w:eastAsia="仿宋"/>
          <w:b/>
          <w:bCs/>
          <w:color w:val="000000" w:themeColor="text1"/>
          <w:sz w:val="32"/>
          <w:szCs w:val="32"/>
          <w:shd w:val="clear" w:color="auto" w:fill="FFFFFF"/>
          <w14:textFill>
            <w14:solidFill>
              <w14:schemeClr w14:val="tx1"/>
            </w14:solidFill>
          </w14:textFill>
        </w:rPr>
        <w:t>3、城乡融合、均衡发展</w:t>
      </w:r>
      <w:bookmarkEnd w:id="20"/>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color w:val="000000" w:themeColor="text1"/>
          <w:kern w:val="2"/>
          <w:sz w:val="32"/>
          <w:szCs w:val="32"/>
          <w14:textFill>
            <w14:solidFill>
              <w14:schemeClr w14:val="tx1"/>
            </w14:solidFill>
          </w14:textFill>
        </w:rPr>
      </w:pPr>
      <w:r>
        <w:rPr>
          <w:rFonts w:hint="eastAsia" w:ascii="仿宋" w:hAnsi="仿宋" w:eastAsia="仿宋" w:cs="Times New Roman"/>
          <w:color w:val="000000" w:themeColor="text1"/>
          <w:kern w:val="2"/>
          <w:sz w:val="32"/>
          <w:szCs w:val="32"/>
          <w14:textFill>
            <w14:solidFill>
              <w14:schemeClr w14:val="tx1"/>
            </w14:solidFill>
          </w14:textFill>
        </w:rPr>
        <w:t>坚持城乡融合、协同发展。正确处理新型城镇化与乡村振兴发展的关系，顺应城镇化大趋势，坚定不移走城乡融合发展之路，完善城乡融合发展体制机制，落实国家、省、市乡村振兴和城乡融合相关政策，不断提升城镇发展带动能力和农村参与市场竞争的能力，补足农村基础设施建设落后、产业单一、收入增长机制不健全等短板，以现代的技术和管理方法建设现代农业产业体系，加快破解城乡二元结构问题。</w:t>
      </w:r>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4、联保共治、绿色发展</w:t>
      </w:r>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坚持生态优先、绿色发展。坚定“一区”发展定位，牢固树立“绿水青山就是金山银山”的理念，扎实推进生态产业化、产业生态化，坚定不移走生态优先绿色发展之路，努力在高水平保护中实现高质量发展。充分结合清城区生态环境容量及环境保护要求，进行产业空间布局的优化，避免产业发展对环境造成的影响。坚持走“点上开发、面上保护”的路子，扎实推进生态产业化、产业生态化，坚持绿色发展道路，严守安全、环保和效益底线，实现循环经济的发展理念。</w:t>
      </w:r>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5、民生幸福</w:t>
      </w:r>
      <w:bookmarkEnd w:id="21"/>
      <w:r>
        <w:rPr>
          <w:rFonts w:hint="eastAsia" w:ascii="仿宋" w:hAnsi="仿宋" w:eastAsia="仿宋"/>
          <w:b/>
          <w:bCs/>
          <w:sz w:val="32"/>
          <w:szCs w:val="32"/>
          <w:shd w:val="clear" w:color="auto" w:fill="FFFFFF"/>
        </w:rPr>
        <w:t>、共享发展</w:t>
      </w:r>
      <w:bookmarkEnd w:id="22"/>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color w:val="000000" w:themeColor="text1"/>
          <w:kern w:val="2"/>
          <w:sz w:val="32"/>
          <w:szCs w:val="32"/>
          <w14:textFill>
            <w14:solidFill>
              <w14:schemeClr w14:val="tx1"/>
            </w14:solidFill>
          </w14:textFill>
        </w:rPr>
      </w:pPr>
      <w:r>
        <w:rPr>
          <w:rFonts w:hint="eastAsia" w:ascii="仿宋" w:hAnsi="仿宋" w:eastAsia="仿宋" w:cs="Times New Roman"/>
          <w:color w:val="000000" w:themeColor="text1"/>
          <w:kern w:val="2"/>
          <w:sz w:val="32"/>
          <w:szCs w:val="32"/>
          <w14:textFill>
            <w14:solidFill>
              <w14:schemeClr w14:val="tx1"/>
            </w14:solidFill>
          </w14:textFill>
        </w:rPr>
        <w:t>牢固树立“以人民为中心”的发展思想，</w:t>
      </w:r>
      <w:r>
        <w:rPr>
          <w:rFonts w:hint="eastAsia" w:ascii="仿宋" w:hAnsi="仿宋" w:eastAsia="仿宋" w:cs="Times New Roman"/>
          <w:color w:val="000000" w:themeColor="text1"/>
          <w:sz w:val="32"/>
          <w:szCs w:val="32"/>
          <w14:textFill>
            <w14:solidFill>
              <w14:schemeClr w14:val="tx1"/>
            </w14:solidFill>
          </w14:textFill>
        </w:rPr>
        <w:t>坚持人民主体地位，坚持共同富裕方向，始终做到发展为了人民、发展依靠人民、发展成果由人民共享，维护人民根本利益。</w:t>
      </w:r>
      <w:r>
        <w:rPr>
          <w:rFonts w:hint="eastAsia" w:ascii="仿宋" w:hAnsi="仿宋" w:eastAsia="仿宋" w:cs="Times New Roman"/>
          <w:color w:val="000000" w:themeColor="text1"/>
          <w:kern w:val="2"/>
          <w:sz w:val="32"/>
          <w:szCs w:val="32"/>
          <w14:textFill>
            <w14:solidFill>
              <w14:schemeClr w14:val="tx1"/>
            </w14:solidFill>
          </w14:textFill>
        </w:rPr>
        <w:t>实施“小切口大变化”民生实事办理制度，坚持“小财政办大民生”，用心用情用力办理人民群众最急最忧最盼的问题，让人民群众的获得感成色更足、幸福感更可持续、安全感更有保障。</w:t>
      </w:r>
      <w:r>
        <w:rPr>
          <w:rFonts w:hint="eastAsia" w:ascii="仿宋" w:hAnsi="仿宋" w:eastAsia="仿宋" w:cs="Times New Roman"/>
          <w:color w:val="000000" w:themeColor="text1"/>
          <w:sz w:val="32"/>
          <w:szCs w:val="32"/>
          <w14:textFill>
            <w14:solidFill>
              <w14:schemeClr w14:val="tx1"/>
            </w14:solidFill>
          </w14:textFill>
        </w:rPr>
        <w:t>激发全体人民积极性、主动性、创造性，促进社会公平，增进民生福祉，使人民的获得感成色更足、幸福感更可持续、安全感更有保障，不断实现人民对美好生活的向往，建设幸福清城。</w:t>
      </w:r>
    </w:p>
    <w:p>
      <w:pPr>
        <w:pStyle w:val="4"/>
        <w:adjustRightInd w:val="0"/>
        <w:snapToGrid w:val="0"/>
        <w:spacing w:line="360" w:lineRule="auto"/>
        <w:ind w:firstLine="643" w:firstLineChars="200"/>
        <w:rPr>
          <w:rFonts w:ascii="仿宋" w:hAnsi="仿宋" w:eastAsia="仿宋"/>
          <w:shd w:val="clear" w:color="auto" w:fill="FFFFFF"/>
        </w:rPr>
      </w:pPr>
      <w:bookmarkStart w:id="23" w:name="_Toc70236877"/>
      <w:r>
        <w:rPr>
          <w:rFonts w:hint="eastAsia" w:ascii="仿宋" w:hAnsi="仿宋" w:eastAsia="仿宋"/>
          <w:shd w:val="clear" w:color="auto" w:fill="FFFFFF"/>
        </w:rPr>
        <w:t>（三）发展目标</w:t>
      </w:r>
      <w:bookmarkEnd w:id="23"/>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1、广州都市圈重点节点城市。</w:t>
      </w:r>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充分对接广州发达的产业、技术、信息、资金、人才溢出效应，发挥清城区临穗区位优势以及较为丰富的土地资源和发展空间优势，以交通一体化、产业一体化、公共服务一体化为重点，大力推进广清一体化建设，实现优势互补、创新协同、产业协作、交通互通、人才互动、服务共享。在产业对接方面，积极承接广州生物医药、智能制造、汽车零部件、大数据、新材料等先进产业链向清城区延伸，协同广州打造世界级产业集群。在城市对接方面，学习借鉴越秀区总部经济、楼宇经济、数字经济等发展经验，主动承接广州的商贸物流、休闲旅游和优质生活服务等城市功能外溢，致力打造珠三角近地优质生活圈典范。在交通对接方面，构建清远与广州两市分工明确的无缝衔接交通路网，实现清城区到广州中心城区轨道交通30分钟直达，道路交通60分钟直达，打造广州“半小时通勤圈”，推动清城区入珠融湾迈入新阶段。</w:t>
      </w:r>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2、大湾区新兴产业拓展区。</w:t>
      </w:r>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color w:val="000000" w:themeColor="text1"/>
          <w:kern w:val="2"/>
          <w:sz w:val="32"/>
          <w:szCs w:val="32"/>
          <w14:textFill>
            <w14:solidFill>
              <w14:schemeClr w14:val="tx1"/>
            </w14:solidFill>
          </w14:textFill>
        </w:rPr>
      </w:pPr>
      <w:r>
        <w:rPr>
          <w:rFonts w:hint="eastAsia" w:ascii="仿宋" w:hAnsi="仿宋" w:eastAsia="仿宋" w:cs="Times New Roman"/>
          <w:color w:val="000000" w:themeColor="text1"/>
          <w:kern w:val="2"/>
          <w:sz w:val="32"/>
          <w:szCs w:val="32"/>
          <w14:textFill>
            <w14:solidFill>
              <w14:schemeClr w14:val="tx1"/>
            </w14:solidFill>
          </w14:textFill>
        </w:rPr>
        <w:t>充分发挥清城区区位、交通和生态优势，全面融入珠三角产业链体系，积极承接珠三角核心区城市的产业辐射，主动参与珠三角城市产业分工体系，实现产业互补与资源共享，着力培育交通装备零部件及智能制造、新材料、生物医药、现代物流、生态旅游、健康养生等产业，建成珠三角地区新兴产业集群的重要基地。强化与珠三角核心区的联系，合作建立产业研发和创业创新平台，主动接受“双区”科创资源、优势产业、创新平台和人才集聚辐射，培育发展新经济新业态新产业集群，努力把清城区打造成为“双区”产业延伸区和珠三角新兴产业拓展区。</w:t>
      </w:r>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3、大湾区生态文旅合作区。</w:t>
      </w:r>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color w:val="000000" w:themeColor="text1"/>
          <w:kern w:val="2"/>
          <w:sz w:val="32"/>
          <w:szCs w:val="32"/>
          <w14:textFill>
            <w14:solidFill>
              <w14:schemeClr w14:val="tx1"/>
            </w14:solidFill>
          </w14:textFill>
        </w:rPr>
      </w:pPr>
      <w:r>
        <w:rPr>
          <w:rFonts w:hint="eastAsia" w:ascii="仿宋" w:hAnsi="仿宋" w:eastAsia="仿宋" w:cs="Times New Roman"/>
          <w:color w:val="000000" w:themeColor="text1"/>
          <w:kern w:val="2"/>
          <w:sz w:val="32"/>
          <w:szCs w:val="32"/>
          <w14:textFill>
            <w14:solidFill>
              <w14:schemeClr w14:val="tx1"/>
            </w14:solidFill>
          </w14:textFill>
        </w:rPr>
        <w:t>坚持低碳化、生态化理念，主动对接广东省打造“世界级旅游休闲目的地”和清远市打造“国际化旅游城市”发展定位，探索“全域共建、全域共融、全域共享”的全域旅游发展新模式，对全区实行全要素整合和旅游价值链整合，配合推进粤港澳大湾区旅游生态合作区建设，与大湾区城市建立互为旅游目的地的市场联动机制。构建“一带一心多组团”文化生态旅游格局，突出凤城文化、福地文化和北江自然生态特色，开拓珠江北江旅游航线，大力发展主题公园旅游、生态休闲旅游、特色小镇旅游、高端商务休闲旅游，推动“旅游+产业”深度融合，促进生态产品价值变现，打造粤港澳大湾区市民休闲旅游“目的地”。</w:t>
      </w:r>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4、城乡融合发展试验示范区。</w:t>
      </w:r>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依托国家城乡融合发展试验区广清结合片区建设，围绕促进城乡生产要素自由流动和平等交换的核心思路，统筹谋划新型城镇化建设、基础设施建设、特色小镇(小城镇)建设，以建立城乡有序流动的人口迁徙制度、建立农村集体经营性建设用地入市制度、搭建城中村改造合作平台、搭建城乡产业协同发展平台、建立城乡基础设施一体化发展体制机制、建立城乡基本公共服务均等化发展体制机制、健全农民持续增收体制机制为重点，探索具有清城区特色的城乡融合发展之路，为全省乃至全国范围内促进城乡融合发展提供先行探索和重要示范。</w:t>
      </w:r>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5、大湾区南北循环重要支点。</w:t>
      </w:r>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清城区南部毗邻广州，北部临近韶关、湖南、广西，处于粤港澳大湾区与粤北山区的结合部，是粤港澳大湾区向北辐射重要支点和连接内地市场的重要经济走廊，具有贯穿南北、融通东西的独特区位优势，能够有效对接国际国内两个市场。在粤港澳大湾区“大循环、双循环”的新发展格局中，清城区可以依托通道优势有效对接内地庞大的国内市场和消费人口，成为内地城市开拓国际市场、融入“一带一路”建设、嵌入世界产业链条的“桥头堡”，成为粤港澳大湾区南北大循环和国内国际双循环的重要节点。</w:t>
      </w:r>
    </w:p>
    <w:p>
      <w:pPr>
        <w:pStyle w:val="3"/>
        <w:adjustRightInd w:val="0"/>
        <w:snapToGrid w:val="0"/>
        <w:spacing w:line="360" w:lineRule="auto"/>
        <w:ind w:firstLine="643" w:firstLineChars="200"/>
        <w:rPr>
          <w:rFonts w:ascii="黑体" w:hAnsi="黑体" w:eastAsia="黑体"/>
          <w:sz w:val="32"/>
          <w:szCs w:val="32"/>
          <w:shd w:val="clear" w:color="auto" w:fill="FFFFFF"/>
        </w:rPr>
      </w:pPr>
      <w:bookmarkStart w:id="24" w:name="_Toc52368129"/>
      <w:bookmarkStart w:id="25" w:name="_Toc70236878"/>
      <w:r>
        <w:rPr>
          <w:rFonts w:hint="eastAsia" w:ascii="黑体" w:hAnsi="黑体" w:eastAsia="黑体"/>
          <w:sz w:val="32"/>
          <w:szCs w:val="32"/>
          <w:shd w:val="clear" w:color="auto" w:fill="FFFFFF"/>
        </w:rPr>
        <w:t>三、</w:t>
      </w:r>
      <w:bookmarkEnd w:id="24"/>
      <w:bookmarkStart w:id="26" w:name="_Toc52368130"/>
      <w:bookmarkStart w:id="27" w:name="_Toc50421875"/>
      <w:r>
        <w:rPr>
          <w:rFonts w:hint="eastAsia" w:ascii="黑体" w:hAnsi="黑体" w:eastAsia="黑体"/>
          <w:sz w:val="32"/>
          <w:szCs w:val="32"/>
          <w:shd w:val="clear" w:color="auto" w:fill="FFFFFF"/>
        </w:rPr>
        <w:t>优化城市发展空间，构建多层次区域协调发展新</w:t>
      </w:r>
      <w:bookmarkEnd w:id="26"/>
      <w:bookmarkEnd w:id="27"/>
      <w:r>
        <w:rPr>
          <w:rFonts w:hint="eastAsia" w:ascii="黑体" w:hAnsi="黑体" w:eastAsia="黑体"/>
          <w:sz w:val="32"/>
          <w:szCs w:val="32"/>
          <w:shd w:val="clear" w:color="auto" w:fill="FFFFFF"/>
        </w:rPr>
        <w:t>格局。</w:t>
      </w:r>
      <w:bookmarkEnd w:id="25"/>
    </w:p>
    <w:p>
      <w:pPr>
        <w:pStyle w:val="4"/>
        <w:adjustRightInd w:val="0"/>
        <w:snapToGrid w:val="0"/>
        <w:spacing w:line="360" w:lineRule="auto"/>
        <w:ind w:firstLine="643" w:firstLineChars="200"/>
        <w:rPr>
          <w:rFonts w:ascii="仿宋" w:hAnsi="仿宋" w:eastAsia="仿宋"/>
          <w:shd w:val="clear" w:color="auto" w:fill="FFFFFF"/>
        </w:rPr>
      </w:pPr>
      <w:bookmarkStart w:id="28" w:name="_Hlk69982767"/>
      <w:bookmarkStart w:id="29" w:name="_Toc52368131"/>
      <w:bookmarkStart w:id="30" w:name="_Toc50630597"/>
      <w:bookmarkStart w:id="31" w:name="_Toc70236879"/>
      <w:r>
        <w:rPr>
          <w:rFonts w:hint="eastAsia" w:ascii="仿宋" w:hAnsi="仿宋" w:eastAsia="仿宋"/>
          <w:shd w:val="clear" w:color="auto" w:fill="FFFFFF"/>
        </w:rPr>
        <w:t>（一）</w:t>
      </w:r>
      <w:bookmarkEnd w:id="28"/>
      <w:r>
        <w:rPr>
          <w:rFonts w:ascii="仿宋" w:hAnsi="仿宋" w:eastAsia="仿宋"/>
          <w:shd w:val="clear" w:color="auto" w:fill="FFFFFF"/>
        </w:rPr>
        <w:fldChar w:fldCharType="begin"/>
      </w:r>
      <w:r>
        <w:rPr>
          <w:rFonts w:ascii="仿宋" w:hAnsi="仿宋" w:eastAsia="仿宋"/>
          <w:shd w:val="clear" w:color="auto" w:fill="FFFFFF"/>
        </w:rPr>
        <w:instrText xml:space="preserve"> HYPERLINK "http://www.baidu.com/link?url=E6-UFoRCcxdxDQqc4kuJG1h3yOEMhII0rmqTpfxeQRGSQuWOw3_hIQ9RipbjoVwumTcrQ_JFoLZzCohrEhjipl9itfjtiaMCzxKfAeVVY_nu9ZmCLotMSQcLzW_PbDcN" \t "_blank" </w:instrText>
      </w:r>
      <w:r>
        <w:rPr>
          <w:rFonts w:ascii="仿宋" w:hAnsi="仿宋" w:eastAsia="仿宋"/>
          <w:shd w:val="clear" w:color="auto" w:fill="FFFFFF"/>
        </w:rPr>
        <w:fldChar w:fldCharType="separate"/>
      </w:r>
      <w:r>
        <w:rPr>
          <w:rFonts w:ascii="仿宋" w:hAnsi="仿宋" w:eastAsia="仿宋"/>
          <w:shd w:val="clear" w:color="auto" w:fill="FFFFFF"/>
        </w:rPr>
        <w:t>优化提升中心城区功能</w:t>
      </w:r>
      <w:r>
        <w:rPr>
          <w:rFonts w:ascii="仿宋" w:hAnsi="仿宋" w:eastAsia="仿宋"/>
          <w:shd w:val="clear" w:color="auto" w:fill="FFFFFF"/>
        </w:rPr>
        <w:fldChar w:fldCharType="end"/>
      </w:r>
      <w:r>
        <w:rPr>
          <w:rFonts w:hint="eastAsia" w:ascii="仿宋" w:hAnsi="仿宋" w:eastAsia="仿宋"/>
          <w:shd w:val="clear" w:color="auto" w:fill="FFFFFF"/>
        </w:rPr>
        <w:t>，</w:t>
      </w:r>
      <w:bookmarkEnd w:id="29"/>
      <w:bookmarkEnd w:id="30"/>
      <w:r>
        <w:rPr>
          <w:rFonts w:hint="eastAsia" w:ascii="仿宋" w:hAnsi="仿宋" w:eastAsia="仿宋"/>
          <w:shd w:val="clear" w:color="auto" w:fill="FFFFFF"/>
        </w:rPr>
        <w:t>打造“一主四次”的城市发展格局。</w:t>
      </w:r>
      <w:bookmarkEnd w:id="31"/>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bookmarkStart w:id="32" w:name="_Toc52368132"/>
      <w:bookmarkStart w:id="33" w:name="_Toc50630598"/>
      <w:r>
        <w:rPr>
          <w:rFonts w:hint="eastAsia" w:ascii="仿宋" w:hAnsi="仿宋" w:eastAsia="仿宋" w:cs="Times New Roman"/>
          <w:kern w:val="2"/>
          <w:sz w:val="32"/>
          <w:szCs w:val="32"/>
        </w:rPr>
        <w:t>进一步提升中心城区的功能，加快推进燕湖新城起步区及“四馆一中心”、省职教城、奥体中心等重点项目建设，高标准建设“一地、两区、三城”，重点打造“一主四次”的城市发展格局，成为承接全市中心工作任务的“主力军”、省市重点项目建设的“主战场”、扩容提质的“主阵地”。</w:t>
      </w:r>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一主”指凤城、东城、洲心、横荷4个街道作为城区空间格局中的发展主芯，着力优化城市功能和拓展发展空间，主动探索更紧凑的组团发展模式，围绕4个中心街道，培育商务办公，融合商业、文化、旅游、教育等功能，打造高质量城市居住区和市级公共服务核心，将4个中心街道打造成清远城市门户和交通枢纽。加快推进燕湖新城核心区及“四馆一中心”、省职教城、奥体中心、“五位一体”交通枢纽等重点项目建设，持续提升城市品位形象，着力打造现代服务业核心区，持续提升中心城区城市品位形象、承载力和首位度。</w:t>
      </w:r>
    </w:p>
    <w:p>
      <w:pPr>
        <w:pStyle w:val="10"/>
        <w:adjustRightInd w:val="0"/>
        <w:snapToGrid w:val="0"/>
        <w:spacing w:before="0" w:beforeAutospacing="0" w:after="0" w:afterAutospacing="0" w:line="360" w:lineRule="auto"/>
        <w:ind w:firstLine="640"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四次”指以龙塘镇为中心的现代生态科技组团、以源潭镇为中心的现代物流组团、以石角镇南部地区为核心的高端制造业组团以及以飞来峡镇为主体的北江生态观光旅游组团。龙塘镇要依托清远高新区、清远长隆、百嘉工业园打造现代生态科技新城；源潭镇要依托广清空港现代物流产业新城、源潭陶瓷城打造现代物流产业集聚区和高端陶瓷产业集聚区；石角镇要依托广清产业园、美林湖、马头山等资源，打造环大湾区先进制造业强镇和户外运动休闲旅游“目的地”；飞来峡镇要依托绿水青山等生态资源，打造生态休闲旅游强镇和乡村振兴示范镇，探索走出一条生态优先、绿色发展新路子。</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4"/>
        <w:gridCol w:w="1911"/>
        <w:gridCol w:w="5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5000" w:type="pct"/>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仿宋" w:hAnsi="仿宋" w:eastAsia="仿宋" w:cs="Times New Roman"/>
                <w:b/>
                <w:color w:val="000000"/>
                <w:sz w:val="28"/>
                <w:szCs w:val="28"/>
              </w:rPr>
            </w:pPr>
            <w:r>
              <w:rPr>
                <w:rFonts w:ascii="Calibri" w:hAnsi="Calibri" w:eastAsia="仿宋_GB2312" w:cs="Times New Roman"/>
                <w:b/>
                <w:bCs/>
                <w:color w:val="000000"/>
                <w:kern w:val="0"/>
                <w:sz w:val="28"/>
                <w:szCs w:val="28"/>
              </w:rPr>
              <w:t>专栏   清城区镇街区域功能和分工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仿宋" w:hAnsi="仿宋" w:eastAsia="仿宋" w:cs="Times New Roman"/>
                <w:bCs/>
                <w:color w:val="000000"/>
                <w:szCs w:val="21"/>
              </w:rPr>
            </w:pPr>
            <w:r>
              <w:rPr>
                <w:rFonts w:hint="eastAsia" w:ascii="仿宋" w:hAnsi="仿宋" w:eastAsia="仿宋" w:cs="Times New Roman"/>
                <w:b/>
                <w:color w:val="000000"/>
                <w:szCs w:val="21"/>
              </w:rPr>
              <w:t>镇街名称</w:t>
            </w:r>
          </w:p>
        </w:tc>
        <w:tc>
          <w:tcPr>
            <w:tcW w:w="1121" w:type="pct"/>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仿宋" w:hAnsi="仿宋" w:eastAsia="仿宋" w:cs="Times New Roman"/>
                <w:bCs/>
                <w:color w:val="000000"/>
                <w:szCs w:val="21"/>
              </w:rPr>
            </w:pPr>
            <w:r>
              <w:rPr>
                <w:rFonts w:hint="eastAsia" w:ascii="仿宋" w:hAnsi="仿宋" w:eastAsia="仿宋" w:cs="Times New Roman"/>
                <w:b/>
                <w:color w:val="000000"/>
                <w:szCs w:val="21"/>
              </w:rPr>
              <w:t>区域功能</w:t>
            </w:r>
          </w:p>
        </w:tc>
        <w:tc>
          <w:tcPr>
            <w:tcW w:w="3178" w:type="pct"/>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仿宋" w:hAnsi="仿宋" w:eastAsia="仿宋" w:cs="Times New Roman"/>
                <w:bCs/>
                <w:color w:val="000000"/>
                <w:szCs w:val="21"/>
              </w:rPr>
            </w:pPr>
            <w:r>
              <w:rPr>
                <w:rFonts w:hint="eastAsia" w:ascii="仿宋" w:hAnsi="仿宋" w:eastAsia="仿宋" w:cs="Times New Roman"/>
                <w:b/>
                <w:color w:val="000000"/>
                <w:szCs w:val="21"/>
              </w:rPr>
              <w:t>发展分工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8" w:hRule="atLeast"/>
          <w:jc w:val="center"/>
        </w:trPr>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仿宋" w:hAnsi="仿宋" w:eastAsia="仿宋" w:cs="Times New Roman"/>
                <w:bCs/>
                <w:color w:val="000000"/>
                <w:szCs w:val="21"/>
              </w:rPr>
            </w:pPr>
            <w:r>
              <w:rPr>
                <w:rFonts w:hint="eastAsia" w:ascii="仿宋" w:hAnsi="仿宋" w:eastAsia="仿宋" w:cs="Times New Roman"/>
                <w:b/>
                <w:color w:val="000000"/>
                <w:szCs w:val="21"/>
              </w:rPr>
              <w:t>洲心街道</w:t>
            </w:r>
          </w:p>
        </w:tc>
        <w:tc>
          <w:tcPr>
            <w:tcW w:w="1121"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清远市中央商务区、现代服务业核心区、城市中央综合服务区、城市生活居住区</w:t>
            </w:r>
          </w:p>
        </w:tc>
        <w:tc>
          <w:tcPr>
            <w:tcW w:w="3178"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充分依托独特的交通区位优势，大力发展培育高端制造业、高新技术产业和现代商贸服务业，全力打造清远顶级的高档CBD。大力推动“三旧改造”，继续配合做好城市扩容，加快轻轨北延线征拆工作，加快推进燕湖新城核心区重点项目建设，洲心街道与凤城街道、东城街道和横荷街道共同打造城市核心发展区，持续提升城市品位形象，着力打造现代服务业核心区，提升中心城区承载力和首位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8" w:hRule="atLeast"/>
          <w:jc w:val="center"/>
        </w:trPr>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仿宋" w:hAnsi="仿宋" w:eastAsia="仿宋" w:cs="Times New Roman"/>
                <w:bCs/>
                <w:color w:val="000000"/>
                <w:szCs w:val="21"/>
              </w:rPr>
            </w:pPr>
            <w:r>
              <w:rPr>
                <w:rFonts w:hint="eastAsia" w:ascii="仿宋" w:hAnsi="仿宋" w:eastAsia="仿宋" w:cs="Times New Roman"/>
                <w:b/>
                <w:color w:val="000000"/>
                <w:szCs w:val="21"/>
              </w:rPr>
              <w:t>凤城街道</w:t>
            </w:r>
          </w:p>
        </w:tc>
        <w:tc>
          <w:tcPr>
            <w:tcW w:w="1121"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现代服务业核心区、城市中央文化区、城市生活居住区</w:t>
            </w:r>
          </w:p>
        </w:tc>
        <w:tc>
          <w:tcPr>
            <w:tcW w:w="3178"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合理统筹规划商业服务业态，逐步打造多层次多特色消费场景，加强城市管理水平和环境卫生整治的方式，提供良好的商业服务体验，以商贸业为核心发展商圈经济群。重视利用旧城现有历史文化资源，升级改造凤城街南门片区、凤里古巷、南门口广场、“清城里”历史街区等一批有基础有底蕴的生活街区，促进辖区商圈提档升级，持续优化营商环境，打造凤城特色旅游休闲目的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8" w:hRule="atLeast"/>
          <w:jc w:val="center"/>
        </w:trPr>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仿宋" w:hAnsi="仿宋" w:eastAsia="仿宋" w:cs="Times New Roman"/>
                <w:bCs/>
                <w:color w:val="000000"/>
                <w:szCs w:val="21"/>
              </w:rPr>
            </w:pPr>
            <w:r>
              <w:rPr>
                <w:rFonts w:hint="eastAsia" w:ascii="仿宋" w:hAnsi="仿宋" w:eastAsia="仿宋" w:cs="Times New Roman"/>
                <w:b/>
                <w:color w:val="000000"/>
                <w:szCs w:val="21"/>
              </w:rPr>
              <w:t>东城街道</w:t>
            </w:r>
          </w:p>
        </w:tc>
        <w:tc>
          <w:tcPr>
            <w:tcW w:w="1121"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现代服务业核心区、产教融合示范区、城市生活居住区</w:t>
            </w:r>
          </w:p>
        </w:tc>
        <w:tc>
          <w:tcPr>
            <w:tcW w:w="3178"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大力推动奥体中心、广外附属学校、职教一路、旅游大道等项目征地工作和“三旧”改造建设工作，加快推进省职教城二三期、金融学院、华南声谷等项目的建设工作，构建产城融合新格局。继续推动“三村一居”乡村振兴样板区建设，承担搭建城乡协同产业平台建设、健全城乡基础设施一体化发展机制，完善美丽乡村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3" w:hRule="atLeast"/>
          <w:jc w:val="center"/>
        </w:trPr>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仿宋" w:hAnsi="仿宋" w:eastAsia="仿宋" w:cs="Times New Roman"/>
                <w:b/>
                <w:color w:val="000000"/>
                <w:szCs w:val="21"/>
              </w:rPr>
            </w:pPr>
            <w:r>
              <w:rPr>
                <w:rFonts w:hint="eastAsia" w:ascii="仿宋" w:hAnsi="仿宋" w:eastAsia="仿宋" w:cs="Times New Roman"/>
                <w:b/>
                <w:color w:val="000000"/>
                <w:szCs w:val="21"/>
              </w:rPr>
              <w:t>横荷街道</w:t>
            </w:r>
          </w:p>
        </w:tc>
        <w:tc>
          <w:tcPr>
            <w:tcW w:w="1121"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现代服务业核心区和旅游综合服务区</w:t>
            </w:r>
          </w:p>
        </w:tc>
        <w:tc>
          <w:tcPr>
            <w:tcW w:w="3178"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依托荷兴工业园、高新区百加科技园、大有工业园以及广东远光电缆、远讯铜材等现有工业基础，借助清远国家级高新区平台的优势，大力提升高质量发展工业营商环境。强化城市建设治理，逐步铺开高接高连线清远西出口至清西大桥两边城中村、荷兴工业园等片区的“三旧”改造，加大周边村庄环境整治力度，提升城市的品位形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2" w:hRule="atLeast"/>
          <w:jc w:val="center"/>
        </w:trPr>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仿宋" w:hAnsi="仿宋" w:eastAsia="仿宋" w:cs="Times New Roman"/>
                <w:bCs/>
                <w:color w:val="000000"/>
                <w:szCs w:val="21"/>
              </w:rPr>
            </w:pPr>
            <w:r>
              <w:rPr>
                <w:rFonts w:hint="eastAsia" w:ascii="仿宋" w:hAnsi="仿宋" w:eastAsia="仿宋" w:cs="Times New Roman"/>
                <w:b/>
                <w:color w:val="000000"/>
                <w:szCs w:val="21"/>
              </w:rPr>
              <w:t>石角镇</w:t>
            </w:r>
          </w:p>
        </w:tc>
        <w:tc>
          <w:tcPr>
            <w:tcW w:w="1121"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广清产业转移示范区、城市生活居住区、环大湾区先进制造业强镇和户外运动休闲旅游“目的地”</w:t>
            </w:r>
          </w:p>
        </w:tc>
        <w:tc>
          <w:tcPr>
            <w:tcW w:w="3178"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聚焦汽车零部件、新材料、装备制造、生物医药、电子信息等重点产业，着力“建链、固链、强链、补链”，增强招商引资的针对性和时效性。推进一批以5G产业为核心的重大产业项目落地，加快物联网技术应用，推动新一代信息技术产业加快发展。抢抓新基建政策机遇，全面加强工业园区基础配套水平，推动现有园区提档升级。在城镇化建设方面，优化石角连接大湾区的交通网络，加快推动佛清从高速、磁浮旅游专线等重大交通项目建设，全力推进湖岸西路、清三公路改造升级为城市快速路等工程建设，配合市加快推进北江千吨级航道通江达海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3" w:hRule="atLeast"/>
          <w:jc w:val="center"/>
        </w:trPr>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仿宋" w:hAnsi="仿宋" w:eastAsia="仿宋" w:cs="Times New Roman"/>
                <w:bCs/>
                <w:color w:val="000000"/>
                <w:szCs w:val="21"/>
              </w:rPr>
            </w:pPr>
            <w:r>
              <w:rPr>
                <w:rFonts w:hint="eastAsia" w:ascii="仿宋" w:hAnsi="仿宋" w:eastAsia="仿宋" w:cs="Times New Roman"/>
                <w:b/>
                <w:color w:val="000000"/>
                <w:szCs w:val="21"/>
              </w:rPr>
              <w:t>龙塘镇</w:t>
            </w:r>
          </w:p>
        </w:tc>
        <w:tc>
          <w:tcPr>
            <w:tcW w:w="1121"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对接粤港澳大湾区的南大门，宜居宜业宜游城市建设重要载体。</w:t>
            </w:r>
          </w:p>
        </w:tc>
        <w:tc>
          <w:tcPr>
            <w:tcW w:w="3178"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充分发挥清远国家高新区创新优势，大力发展信息管理、数据处理、财会核算、技术研发、工业设计服务外包产业。推动数据资源开发利用，拓展数字经济产业平台。在城镇化建设方面，推进广清城轨及其配套工程建设，全域开展农村人居环境综合整治及美丽乡村建设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jc w:val="center"/>
        </w:trPr>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仿宋" w:hAnsi="仿宋" w:eastAsia="仿宋" w:cs="Times New Roman"/>
                <w:bCs/>
                <w:color w:val="000000"/>
                <w:szCs w:val="21"/>
              </w:rPr>
            </w:pPr>
            <w:r>
              <w:rPr>
                <w:rFonts w:hint="eastAsia" w:ascii="仿宋" w:hAnsi="仿宋" w:eastAsia="仿宋" w:cs="Times New Roman"/>
                <w:b/>
                <w:color w:val="000000"/>
                <w:szCs w:val="21"/>
              </w:rPr>
              <w:t>源潭镇</w:t>
            </w:r>
          </w:p>
        </w:tc>
        <w:tc>
          <w:tcPr>
            <w:tcW w:w="1121"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现代物流产业集聚区和高端陶瓷产业集聚区</w:t>
            </w:r>
          </w:p>
        </w:tc>
        <w:tc>
          <w:tcPr>
            <w:tcW w:w="3178"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以广清空港现代物流产业新城为主体，大力引进现代物流、商贸等优质企业进驻，打造覆盖华南地区的交易配送中心、面向粤港澳大湾区的现代商贸和物流产业集聚区。在城镇化建设方面，加快推进广清接合片区建设，大力推进新马乡村振兴样板区建设，推动一二三产业融合发展。继续大力实施乡村振兴战略，深入实施“美丽乡村2025”行动计划，促进农民增收致富。加快城乡融合发展，完善美丽乡村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43" w:hRule="atLeast"/>
          <w:jc w:val="center"/>
        </w:trPr>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仿宋" w:hAnsi="仿宋" w:eastAsia="仿宋" w:cs="Times New Roman"/>
                <w:bCs/>
                <w:color w:val="000000"/>
                <w:szCs w:val="21"/>
              </w:rPr>
            </w:pPr>
            <w:r>
              <w:rPr>
                <w:rFonts w:hint="eastAsia" w:ascii="仿宋" w:hAnsi="仿宋" w:eastAsia="仿宋" w:cs="Times New Roman"/>
                <w:b/>
                <w:color w:val="000000"/>
                <w:szCs w:val="21"/>
              </w:rPr>
              <w:t>飞来峡镇</w:t>
            </w:r>
          </w:p>
        </w:tc>
        <w:tc>
          <w:tcPr>
            <w:tcW w:w="1121"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生态休闲旅游强镇和乡村振兴示范镇</w:t>
            </w:r>
          </w:p>
        </w:tc>
        <w:tc>
          <w:tcPr>
            <w:tcW w:w="3178" w:type="pct"/>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ascii="仿宋" w:hAnsi="仿宋" w:eastAsia="仿宋" w:cs="Times New Roman"/>
                <w:bCs/>
                <w:color w:val="000000"/>
                <w:szCs w:val="21"/>
              </w:rPr>
            </w:pPr>
            <w:r>
              <w:rPr>
                <w:rFonts w:hint="eastAsia" w:ascii="仿宋" w:hAnsi="仿宋" w:eastAsia="仿宋" w:cs="Times New Roman"/>
                <w:bCs/>
                <w:color w:val="000000"/>
                <w:szCs w:val="21"/>
              </w:rPr>
              <w:t>以“旅游+”、“+旅游”为途径，大力推进旅游业与一、二、三次产业的融合，以全域旅游发展为契机，以农旅融合、文旅融合、红旅融合等为抓手，撬动各产业融合发展。在城镇化建设方面，重点加强城镇总体规划的实施和管理，优化城乡空间布局，完善城镇功能，打造美丽宜居的旅游特色小镇。加快城乡融合发展，完善美丽乡村建设。</w:t>
            </w:r>
          </w:p>
        </w:tc>
      </w:tr>
    </w:tbl>
    <w:p>
      <w:pPr>
        <w:pStyle w:val="4"/>
        <w:adjustRightInd w:val="0"/>
        <w:snapToGrid w:val="0"/>
        <w:spacing w:line="360" w:lineRule="auto"/>
        <w:ind w:firstLine="643" w:firstLineChars="200"/>
        <w:rPr>
          <w:rFonts w:ascii="仿宋" w:hAnsi="仿宋" w:eastAsia="仿宋"/>
          <w:shd w:val="clear" w:color="auto" w:fill="FFFFFF"/>
        </w:rPr>
      </w:pPr>
      <w:bookmarkStart w:id="34" w:name="_Toc70236880"/>
      <w:r>
        <w:rPr>
          <w:rFonts w:hint="eastAsia" w:ascii="仿宋" w:hAnsi="仿宋" w:eastAsia="仿宋"/>
          <w:shd w:val="clear" w:color="auto" w:fill="FFFFFF"/>
        </w:rPr>
        <w:t>（二）增强城市发展极化效应，带动市域均衡发展</w:t>
      </w:r>
      <w:bookmarkEnd w:id="32"/>
      <w:bookmarkEnd w:id="33"/>
      <w:r>
        <w:rPr>
          <w:rFonts w:hint="eastAsia" w:ascii="仿宋" w:hAnsi="仿宋" w:eastAsia="仿宋"/>
          <w:shd w:val="clear" w:color="auto" w:fill="FFFFFF"/>
        </w:rPr>
        <w:t>。</w:t>
      </w:r>
      <w:bookmarkEnd w:id="34"/>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充分发挥中心城区的龙头带动作用，将清城发展充分有效地融入到全市发展中，积极联动清新推动一体化发展，共同打造清远“强中心”，引领中北部地区联动发展，形成区域协同、合作发展新格局。</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bCs/>
          <w:sz w:val="32"/>
          <w:szCs w:val="32"/>
        </w:rPr>
        <w:t>推进清新一体化发展，共同打造清远的“强中心”。</w:t>
      </w:r>
      <w:r>
        <w:rPr>
          <w:rFonts w:ascii="仿宋" w:hAnsi="仿宋" w:eastAsia="仿宋"/>
          <w:sz w:val="32"/>
          <w:szCs w:val="32"/>
        </w:rPr>
        <w:t>加快推动清城清新一体化发展步伐，进一步打破行政区域的壁垒和障碍，推动资源要素自由流动和合理配置，推动两区产业、公共服务、基础设施建设等协同发展。</w:t>
      </w:r>
      <w:r>
        <w:rPr>
          <w:rFonts w:hint="eastAsia" w:ascii="仿宋" w:hAnsi="仿宋" w:eastAsia="仿宋"/>
          <w:sz w:val="32"/>
          <w:szCs w:val="32"/>
        </w:rPr>
        <w:t>充分</w:t>
      </w:r>
      <w:r>
        <w:rPr>
          <w:rFonts w:ascii="仿宋" w:hAnsi="仿宋" w:eastAsia="仿宋"/>
          <w:sz w:val="32"/>
          <w:szCs w:val="32"/>
        </w:rPr>
        <w:t>发挥清城区的城市功能，清新区的纵深功能</w:t>
      </w:r>
      <w:r>
        <w:rPr>
          <w:rFonts w:hint="eastAsia" w:ascii="仿宋" w:hAnsi="仿宋" w:eastAsia="仿宋"/>
          <w:sz w:val="32"/>
          <w:szCs w:val="32"/>
        </w:rPr>
        <w:t>，对两</w:t>
      </w:r>
      <w:r>
        <w:rPr>
          <w:rFonts w:ascii="仿宋" w:hAnsi="仿宋" w:eastAsia="仿宋"/>
          <w:sz w:val="32"/>
          <w:szCs w:val="32"/>
        </w:rPr>
        <w:t>区的中心城区、城郊地区、乡镇进行统一规划，充分发挥彼此优势</w:t>
      </w:r>
      <w:r>
        <w:rPr>
          <w:rFonts w:hint="eastAsia" w:ascii="仿宋" w:hAnsi="仿宋" w:eastAsia="仿宋"/>
          <w:sz w:val="32"/>
          <w:szCs w:val="32"/>
        </w:rPr>
        <w:t>。</w:t>
      </w:r>
      <w:r>
        <w:rPr>
          <w:rFonts w:ascii="仿宋" w:hAnsi="仿宋" w:eastAsia="仿宋"/>
          <w:sz w:val="32"/>
          <w:szCs w:val="32"/>
        </w:rPr>
        <w:t>探索总部经济、研发机构在清城区，产业量产在清新区</w:t>
      </w:r>
      <w:r>
        <w:rPr>
          <w:rFonts w:hint="eastAsia" w:ascii="仿宋" w:hAnsi="仿宋" w:eastAsia="仿宋"/>
          <w:sz w:val="32"/>
          <w:szCs w:val="32"/>
        </w:rPr>
        <w:t>的合作模式</w:t>
      </w:r>
      <w:r>
        <w:rPr>
          <w:rFonts w:ascii="仿宋" w:hAnsi="仿宋" w:eastAsia="仿宋"/>
          <w:sz w:val="32"/>
          <w:szCs w:val="32"/>
        </w:rPr>
        <w:t>，促进产业融合发展</w:t>
      </w:r>
      <w:r>
        <w:rPr>
          <w:rFonts w:hint="eastAsia" w:ascii="仿宋" w:hAnsi="仿宋" w:eastAsia="仿宋"/>
          <w:sz w:val="32"/>
          <w:szCs w:val="32"/>
        </w:rPr>
        <w:t>。共同</w:t>
      </w:r>
      <w:r>
        <w:rPr>
          <w:rFonts w:ascii="仿宋" w:hAnsi="仿宋" w:eastAsia="仿宋"/>
          <w:sz w:val="32"/>
          <w:szCs w:val="32"/>
        </w:rPr>
        <w:t>打造以清城、清新</w:t>
      </w:r>
      <w:r>
        <w:rPr>
          <w:rFonts w:hint="eastAsia" w:ascii="仿宋" w:hAnsi="仿宋" w:eastAsia="仿宋"/>
          <w:sz w:val="32"/>
          <w:szCs w:val="32"/>
        </w:rPr>
        <w:t>一体化</w:t>
      </w:r>
      <w:r>
        <w:rPr>
          <w:rFonts w:ascii="仿宋" w:hAnsi="仿宋" w:eastAsia="仿宋"/>
          <w:sz w:val="32"/>
          <w:szCs w:val="32"/>
        </w:rPr>
        <w:t>为核心的南部都市区，大力发展先进制造业和现代服务业，</w:t>
      </w:r>
      <w:r>
        <w:rPr>
          <w:rFonts w:hint="eastAsia" w:ascii="仿宋" w:hAnsi="仿宋" w:eastAsia="仿宋"/>
          <w:sz w:val="32"/>
          <w:szCs w:val="32"/>
        </w:rPr>
        <w:t>共同</w:t>
      </w:r>
      <w:r>
        <w:rPr>
          <w:rFonts w:ascii="仿宋" w:hAnsi="仿宋" w:eastAsia="仿宋"/>
          <w:sz w:val="32"/>
          <w:szCs w:val="32"/>
        </w:rPr>
        <w:t>建设成为清远现代服务业和先进制造业核心区</w:t>
      </w:r>
      <w:r>
        <w:rPr>
          <w:rFonts w:hint="eastAsia" w:ascii="仿宋" w:hAnsi="仿宋" w:eastAsia="仿宋"/>
          <w:sz w:val="32"/>
          <w:szCs w:val="32"/>
        </w:rPr>
        <w:t>，</w:t>
      </w:r>
      <w:r>
        <w:rPr>
          <w:rFonts w:ascii="仿宋" w:hAnsi="仿宋" w:eastAsia="仿宋"/>
          <w:sz w:val="32"/>
          <w:szCs w:val="32"/>
        </w:rPr>
        <w:t>强化行政服务、商业服务、金融服务和生产性服务，提升城市服务功能</w:t>
      </w:r>
      <w:r>
        <w:rPr>
          <w:rFonts w:hint="eastAsia" w:ascii="仿宋" w:hAnsi="仿宋" w:eastAsia="仿宋"/>
          <w:sz w:val="32"/>
          <w:szCs w:val="32"/>
        </w:rPr>
        <w:t>，推动清新两区“双翼齐飞”，共同打造成清远的“强中心”，助力清远实现“入珠融湾”。</w:t>
      </w:r>
    </w:p>
    <w:p>
      <w:pPr>
        <w:adjustRightInd w:val="0"/>
        <w:snapToGrid w:val="0"/>
        <w:spacing w:line="360" w:lineRule="auto"/>
        <w:ind w:firstLine="643" w:firstLineChars="200"/>
        <w:rPr>
          <w:rFonts w:ascii="仿宋" w:hAnsi="仿宋" w:eastAsia="仿宋"/>
          <w:sz w:val="32"/>
          <w:szCs w:val="32"/>
          <w:shd w:val="clear" w:color="auto" w:fill="FFFFFF"/>
        </w:rPr>
      </w:pPr>
      <w:r>
        <w:rPr>
          <w:rFonts w:hint="eastAsia" w:ascii="仿宋" w:hAnsi="仿宋" w:eastAsia="仿宋"/>
          <w:b/>
          <w:bCs/>
          <w:sz w:val="32"/>
          <w:szCs w:val="32"/>
        </w:rPr>
        <w:t>增强城市极化效应，带动中北部区域联动发展。</w:t>
      </w:r>
      <w:r>
        <w:rPr>
          <w:rFonts w:hint="eastAsia" w:ascii="仿宋" w:hAnsi="仿宋" w:eastAsia="仿宋"/>
          <w:sz w:val="32"/>
          <w:szCs w:val="32"/>
        </w:rPr>
        <w:t>主动对接清远市区域协调发展战略，提升清城区作为中心城区的产业发展的极化效应和公共服务供给能力。增强清城区发展的极化效应，带动中北部区域联动发展，形成</w:t>
      </w:r>
      <w:r>
        <w:rPr>
          <w:rFonts w:ascii="仿宋" w:hAnsi="仿宋" w:eastAsia="仿宋"/>
          <w:sz w:val="32"/>
          <w:szCs w:val="32"/>
        </w:rPr>
        <w:t>以英德为中心、清新北部和阳山南部为外围的中部城镇群，</w:t>
      </w:r>
      <w:r>
        <w:rPr>
          <w:rFonts w:hint="eastAsia" w:ascii="仿宋" w:hAnsi="仿宋" w:eastAsia="仿宋"/>
          <w:sz w:val="32"/>
          <w:szCs w:val="32"/>
        </w:rPr>
        <w:t>打造</w:t>
      </w:r>
      <w:r>
        <w:rPr>
          <w:rFonts w:ascii="仿宋" w:hAnsi="仿宋" w:eastAsia="仿宋"/>
          <w:sz w:val="32"/>
          <w:szCs w:val="32"/>
        </w:rPr>
        <w:t>清远工业发展的主战场和南部加快融入</w:t>
      </w:r>
      <w:r>
        <w:rPr>
          <w:rFonts w:hint="eastAsia" w:ascii="仿宋" w:hAnsi="仿宋" w:eastAsia="仿宋"/>
          <w:sz w:val="32"/>
          <w:szCs w:val="32"/>
        </w:rPr>
        <w:t>大湾区</w:t>
      </w:r>
      <w:r>
        <w:rPr>
          <w:rFonts w:ascii="仿宋" w:hAnsi="仿宋" w:eastAsia="仿宋"/>
          <w:sz w:val="32"/>
          <w:szCs w:val="32"/>
        </w:rPr>
        <w:t>的纵深腹地</w:t>
      </w:r>
      <w:r>
        <w:rPr>
          <w:rFonts w:hint="eastAsia" w:ascii="仿宋" w:hAnsi="仿宋" w:eastAsia="仿宋"/>
          <w:sz w:val="32"/>
          <w:szCs w:val="32"/>
        </w:rPr>
        <w:t>；加快发展</w:t>
      </w:r>
      <w:r>
        <w:rPr>
          <w:rFonts w:ascii="仿宋" w:hAnsi="仿宋" w:eastAsia="仿宋"/>
          <w:sz w:val="32"/>
          <w:szCs w:val="32"/>
        </w:rPr>
        <w:t>以连州为中心、连山连南及阳山北部为外围的北部城镇群，建设成为联系广清与中南地区的重要生态产业走廊。</w:t>
      </w:r>
    </w:p>
    <w:p>
      <w:pPr>
        <w:pStyle w:val="4"/>
        <w:adjustRightInd w:val="0"/>
        <w:snapToGrid w:val="0"/>
        <w:spacing w:line="360" w:lineRule="auto"/>
        <w:ind w:firstLine="643" w:firstLineChars="200"/>
        <w:rPr>
          <w:rFonts w:ascii="仿宋" w:hAnsi="仿宋" w:eastAsia="仿宋"/>
          <w:shd w:val="clear" w:color="auto" w:fill="FFFFFF"/>
        </w:rPr>
      </w:pPr>
      <w:bookmarkStart w:id="35" w:name="_Toc52368133"/>
      <w:bookmarkStart w:id="36" w:name="_Toc50630599"/>
      <w:bookmarkStart w:id="37" w:name="_Toc70236881"/>
      <w:r>
        <w:rPr>
          <w:rFonts w:hint="eastAsia" w:ascii="仿宋" w:hAnsi="仿宋" w:eastAsia="仿宋"/>
          <w:shd w:val="clear" w:color="auto" w:fill="FFFFFF"/>
        </w:rPr>
        <w:t>（三）探索</w:t>
      </w:r>
      <w:r>
        <w:rPr>
          <w:rFonts w:ascii="仿宋" w:hAnsi="仿宋" w:eastAsia="仿宋"/>
          <w:shd w:val="clear" w:color="auto" w:fill="FFFFFF"/>
        </w:rPr>
        <w:t>广清一体化</w:t>
      </w:r>
      <w:r>
        <w:rPr>
          <w:rFonts w:hint="eastAsia" w:ascii="仿宋" w:hAnsi="仿宋" w:eastAsia="仿宋"/>
          <w:shd w:val="clear" w:color="auto" w:fill="FFFFFF"/>
        </w:rPr>
        <w:t>发展新模式，</w:t>
      </w:r>
      <w:bookmarkEnd w:id="35"/>
      <w:bookmarkEnd w:id="36"/>
      <w:r>
        <w:rPr>
          <w:rFonts w:hint="eastAsia" w:ascii="仿宋" w:hAnsi="仿宋" w:eastAsia="仿宋"/>
          <w:shd w:val="clear" w:color="auto" w:fill="FFFFFF"/>
        </w:rPr>
        <w:t>打造广州都市圈重点节点城市。</w:t>
      </w:r>
      <w:bookmarkEnd w:id="37"/>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加快广清深度合作新模式的探索，积极谋划清城区在广州都市圈中的发展定位，大力承接广州高校、科研院所、医疗机构、事业单位等非国家重要中心城市功能，扩容清城区生产要素承载能力，打造广州都市圈节点城市。</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bCs/>
          <w:sz w:val="32"/>
          <w:szCs w:val="32"/>
        </w:rPr>
        <w:t>创新合作发展模式，推动广清产业深度融合、共建共促。</w:t>
      </w:r>
      <w:r>
        <w:rPr>
          <w:rFonts w:hint="eastAsia" w:ascii="仿宋" w:hAnsi="仿宋" w:eastAsia="仿宋"/>
          <w:sz w:val="32"/>
          <w:szCs w:val="32"/>
        </w:rPr>
        <w:t>发挥自身区位、土地要素等优势，提</w:t>
      </w:r>
      <w:r>
        <w:rPr>
          <w:rFonts w:hint="eastAsia" w:ascii="仿宋" w:hAnsi="仿宋" w:eastAsia="仿宋"/>
          <w:color w:val="000000" w:themeColor="text1"/>
          <w:sz w:val="32"/>
          <w:szCs w:val="32"/>
          <w14:textFill>
            <w14:solidFill>
              <w14:schemeClr w14:val="tx1"/>
            </w14:solidFill>
          </w14:textFill>
        </w:rPr>
        <w:t>升与广州产业的分工协</w:t>
      </w:r>
      <w:r>
        <w:rPr>
          <w:rFonts w:hint="eastAsia" w:ascii="仿宋" w:hAnsi="仿宋" w:eastAsia="仿宋"/>
          <w:sz w:val="32"/>
          <w:szCs w:val="32"/>
        </w:rPr>
        <w:t>作水平，大力探索共建合作模式，促进清城产业与广州产业的延伸对接、配套发展、梯级递进。充分利用广州科教资源高度密集优势，支持广州科研机构到清城区设立分支机构，有序承接广州科技基础设施、专业技术服务平台，为清远对接广深港澳科技创新走廊提供内生动力，推动广清共建高质量的产业发展平台。</w:t>
      </w:r>
    </w:p>
    <w:p>
      <w:pPr>
        <w:adjustRightInd w:val="0"/>
        <w:snapToGrid w:val="0"/>
        <w:spacing w:line="360" w:lineRule="auto"/>
        <w:ind w:firstLine="643" w:firstLineChars="200"/>
        <w:rPr>
          <w:rFonts w:ascii="仿宋" w:hAnsi="仿宋" w:eastAsia="仿宋"/>
          <w:sz w:val="32"/>
          <w:szCs w:val="32"/>
          <w:shd w:val="clear" w:color="auto" w:fill="FFFFFF"/>
        </w:rPr>
      </w:pPr>
      <w:r>
        <w:rPr>
          <w:rFonts w:hint="eastAsia" w:ascii="仿宋" w:hAnsi="仿宋" w:eastAsia="仿宋"/>
          <w:b/>
          <w:bCs/>
          <w:sz w:val="32"/>
          <w:szCs w:val="32"/>
        </w:rPr>
        <w:t>承接</w:t>
      </w:r>
      <w:bookmarkStart w:id="38" w:name="_Hlk58254592"/>
      <w:r>
        <w:rPr>
          <w:rFonts w:hint="eastAsia" w:ascii="仿宋" w:hAnsi="仿宋" w:eastAsia="仿宋"/>
          <w:b/>
          <w:bCs/>
          <w:sz w:val="32"/>
          <w:szCs w:val="32"/>
        </w:rPr>
        <w:t>广州非国家重要中心城市功能</w:t>
      </w:r>
      <w:bookmarkEnd w:id="38"/>
      <w:r>
        <w:rPr>
          <w:rFonts w:hint="eastAsia" w:ascii="仿宋" w:hAnsi="仿宋" w:eastAsia="仿宋"/>
          <w:b/>
          <w:bCs/>
          <w:sz w:val="32"/>
          <w:szCs w:val="32"/>
        </w:rPr>
        <w:t>，加强城市功能互补。</w:t>
      </w:r>
      <w:r>
        <w:rPr>
          <w:rFonts w:hint="eastAsia" w:ascii="仿宋" w:hAnsi="仿宋" w:eastAsia="仿宋"/>
          <w:sz w:val="32"/>
          <w:szCs w:val="32"/>
        </w:rPr>
        <w:t>紧紧抓住疏解广州的非国家重要中心城市功能这个“牛鼻子”，探索成为广州都市圈重要节点城市。围绕“广州所需”和“清城所能”，积极主动对接疏解需求，科学规划功能布局，</w:t>
      </w:r>
      <w:bookmarkStart w:id="39" w:name="_Hlk58254633"/>
      <w:r>
        <w:rPr>
          <w:rFonts w:hint="eastAsia" w:ascii="仿宋" w:hAnsi="仿宋" w:eastAsia="仿宋"/>
          <w:sz w:val="32"/>
          <w:szCs w:val="32"/>
        </w:rPr>
        <w:t>改革创新体制机制，建设完善基础设施，提供优质公共服务，进一步优化营商环境，重点承接高校、科研院所、医疗机构、事业单位等非国家重要中心城市功能</w:t>
      </w:r>
      <w:bookmarkEnd w:id="39"/>
      <w:r>
        <w:rPr>
          <w:rFonts w:hint="eastAsia" w:ascii="仿宋" w:hAnsi="仿宋" w:eastAsia="仿宋"/>
          <w:sz w:val="32"/>
          <w:szCs w:val="32"/>
        </w:rPr>
        <w:t>，促进生产要素合理有序流动，增强清城区内生发展动力。</w:t>
      </w:r>
      <w:r>
        <w:rPr>
          <w:rFonts w:ascii="仿宋" w:hAnsi="仿宋" w:eastAsia="仿宋"/>
          <w:sz w:val="32"/>
          <w:szCs w:val="32"/>
        </w:rPr>
        <w:t>优先促进广州部分交通功能和居住功能向清远迁移，广州职业教育、专科特色医院等公共服务功能向清</w:t>
      </w:r>
      <w:r>
        <w:rPr>
          <w:rFonts w:hint="eastAsia" w:ascii="仿宋" w:hAnsi="仿宋" w:eastAsia="仿宋"/>
          <w:sz w:val="32"/>
          <w:szCs w:val="32"/>
        </w:rPr>
        <w:t>城区</w:t>
      </w:r>
      <w:r>
        <w:rPr>
          <w:rFonts w:ascii="仿宋" w:hAnsi="仿宋" w:eastAsia="仿宋"/>
          <w:sz w:val="32"/>
          <w:szCs w:val="32"/>
        </w:rPr>
        <w:t>疏解，将清</w:t>
      </w:r>
      <w:r>
        <w:rPr>
          <w:rFonts w:hint="eastAsia" w:ascii="仿宋" w:hAnsi="仿宋" w:eastAsia="仿宋"/>
          <w:sz w:val="32"/>
          <w:szCs w:val="32"/>
        </w:rPr>
        <w:t>城</w:t>
      </w:r>
      <w:r>
        <w:rPr>
          <w:rFonts w:ascii="仿宋" w:hAnsi="仿宋" w:eastAsia="仿宋"/>
          <w:sz w:val="32"/>
          <w:szCs w:val="32"/>
        </w:rPr>
        <w:t>区培育成为广州北部生产性服务次中心和生活性服务延伸区。</w:t>
      </w:r>
    </w:p>
    <w:p>
      <w:pPr>
        <w:pStyle w:val="4"/>
        <w:adjustRightInd w:val="0"/>
        <w:snapToGrid w:val="0"/>
        <w:spacing w:line="360" w:lineRule="auto"/>
        <w:ind w:firstLine="643" w:firstLineChars="200"/>
        <w:rPr>
          <w:rFonts w:ascii="仿宋" w:hAnsi="仿宋" w:eastAsia="仿宋"/>
          <w:shd w:val="clear" w:color="auto" w:fill="FFFFFF"/>
        </w:rPr>
      </w:pPr>
      <w:bookmarkStart w:id="40" w:name="_Hlk51408841"/>
      <w:bookmarkStart w:id="41" w:name="_Toc50630600"/>
      <w:bookmarkStart w:id="42" w:name="_Toc52368134"/>
      <w:bookmarkStart w:id="43" w:name="_Toc70236882"/>
      <w:r>
        <w:rPr>
          <w:rFonts w:hint="eastAsia" w:ascii="仿宋" w:hAnsi="仿宋" w:eastAsia="仿宋"/>
          <w:shd w:val="clear" w:color="auto" w:fill="FFFFFF"/>
        </w:rPr>
        <w:t>（四）加快推动</w:t>
      </w:r>
      <w:bookmarkStart w:id="44" w:name="_Hlk58427619"/>
      <w:r>
        <w:rPr>
          <w:rFonts w:hint="eastAsia" w:ascii="仿宋" w:hAnsi="仿宋" w:eastAsia="仿宋"/>
          <w:shd w:val="clear" w:color="auto" w:fill="FFFFFF"/>
        </w:rPr>
        <w:t>“入珠融湾”</w:t>
      </w:r>
      <w:bookmarkEnd w:id="40"/>
      <w:bookmarkEnd w:id="44"/>
      <w:r>
        <w:rPr>
          <w:rFonts w:hint="eastAsia" w:ascii="仿宋" w:hAnsi="仿宋" w:eastAsia="仿宋"/>
          <w:shd w:val="clear" w:color="auto" w:fill="FFFFFF"/>
        </w:rPr>
        <w:t>战略，打造省际合作的南北战略枢纽</w:t>
      </w:r>
      <w:bookmarkEnd w:id="41"/>
      <w:bookmarkEnd w:id="42"/>
      <w:r>
        <w:rPr>
          <w:rFonts w:hint="eastAsia" w:ascii="仿宋" w:hAnsi="仿宋" w:eastAsia="仿宋"/>
          <w:shd w:val="clear" w:color="auto" w:fill="FFFFFF"/>
        </w:rPr>
        <w:t>。</w:t>
      </w:r>
      <w:bookmarkEnd w:id="43"/>
    </w:p>
    <w:p>
      <w:pPr>
        <w:adjustRightInd w:val="0"/>
        <w:snapToGrid w:val="0"/>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 xml:space="preserve">充分发挥自身区位、土地要素等优势，依托广清产业园、广清空港物流产业新城、互联网+创新产业园等产业平台，进一步加快“入珠融湾”步伐，通过省际合作构建南北战略枢纽。 </w:t>
      </w:r>
      <w:r>
        <w:rPr>
          <w:rFonts w:ascii="仿宋" w:hAnsi="仿宋" w:eastAsia="仿宋" w:cs="Times New Roman"/>
          <w:sz w:val="32"/>
          <w:szCs w:val="32"/>
        </w:rPr>
        <w:t xml:space="preserve">                                                                                                                                                                                                                                                                                                                                                                                                                                                                                                                                                                                                                                                                                                                                                                                                                                                                                                                                                                                                                                                                                                                                                                                                                                                                                                                                                                                                                                                                                                                                                                                                                                                                                                                                                                                                                                                                                                                                                                                                                                                                                                                                                                                                                                                                                                                                                                                                                                                                                                                                                                                                                                                                                                                                                                                                                                                                                                                                                                                                                                                                                                                                                                                                                                                                                                                                                                                                                                                                                                                                                                                                                                                                                                                                                                                                                                                                                                                                                                                                                                                                                                                                                                                                                </w:t>
      </w:r>
      <w:r>
        <w:rPr>
          <w:rFonts w:ascii="仿宋" w:hAnsi="仿宋" w:eastAsia="仿宋" w:cs="Times New Roman"/>
          <w:sz w:val="32"/>
          <w:szCs w:val="32"/>
        </w:rPr>
        <w:t xml:space="preserve">                                                                                                                                                                                                                                                                                                                                                                                                                                                                                                                                                                                                                                                                                                                                                                                                                                                                                                                                                                                                                                                                                                                                                                                                                                                                                                                                                                                                                                                                                                                                                                                                                                                                                                                                                                                                                                                                                                                                                                                                                                                                                                                                                                                                                                                                                                                                                                                                                                         </w:t>
      </w:r>
    </w:p>
    <w:p>
      <w:pPr>
        <w:pStyle w:val="10"/>
        <w:adjustRightInd w:val="0"/>
        <w:snapToGrid w:val="0"/>
        <w:spacing w:before="0" w:beforeAutospacing="0" w:after="0" w:afterAutospacing="0" w:line="360" w:lineRule="auto"/>
        <w:ind w:firstLine="643" w:firstLineChars="200"/>
        <w:jc w:val="both"/>
        <w:rPr>
          <w:rFonts w:ascii="仿宋" w:hAnsi="仿宋" w:eastAsia="仿宋" w:cs="Times New Roman"/>
          <w:kern w:val="2"/>
          <w:sz w:val="32"/>
          <w:szCs w:val="32"/>
        </w:rPr>
      </w:pPr>
      <w:r>
        <w:rPr>
          <w:rFonts w:hint="eastAsia" w:ascii="仿宋" w:hAnsi="仿宋" w:eastAsia="仿宋" w:cs="Times New Roman"/>
          <w:b/>
          <w:bCs/>
          <w:kern w:val="2"/>
          <w:sz w:val="32"/>
          <w:szCs w:val="32"/>
        </w:rPr>
        <w:t>加快“入珠融湾”步伐，全面融入粤港澳大湾区。</w:t>
      </w:r>
      <w:r>
        <w:rPr>
          <w:rFonts w:hint="eastAsia" w:ascii="仿宋" w:hAnsi="仿宋" w:eastAsia="仿宋" w:cs="Times New Roman"/>
          <w:kern w:val="2"/>
          <w:sz w:val="32"/>
          <w:szCs w:val="32"/>
        </w:rPr>
        <w:t>发挥清城区作为环珠三角地区中距离粤港澳大湾区内核最近的地级市中心城区的区位、交通、生态、开发空间优势，</w:t>
      </w:r>
      <w:bookmarkStart w:id="45" w:name="_Hlk58427481"/>
      <w:r>
        <w:rPr>
          <w:rFonts w:hint="eastAsia" w:ascii="仿宋" w:hAnsi="仿宋" w:eastAsia="仿宋" w:cs="Times New Roman"/>
          <w:kern w:val="2"/>
          <w:sz w:val="32"/>
          <w:szCs w:val="32"/>
        </w:rPr>
        <w:t>依托广清产业园、广清空港物流产业新城、互联网+创新产业园等产业平台</w:t>
      </w:r>
      <w:bookmarkEnd w:id="45"/>
      <w:r>
        <w:rPr>
          <w:rFonts w:hint="eastAsia" w:ascii="仿宋" w:hAnsi="仿宋" w:eastAsia="仿宋" w:cs="Times New Roman"/>
          <w:kern w:val="2"/>
          <w:sz w:val="32"/>
          <w:szCs w:val="32"/>
        </w:rPr>
        <w:t>，面向大湾区重大转移项目，实施针对性招商，争取一批科技含量高、附加值高、成长快的企业落户。以发展先进制造业和新一代信息技术产业为主线，以科技创新为引领，通过广清产业一体化共建，全面融湾入湾。以建设国际化旅游城市为契机，立足中心城区的功能、定位和作用，全面推进国际化旅游城市建设，促进旅游业转型升级，推动乡村旅游全域化，以旅游为突破口，助力清远</w:t>
      </w:r>
      <w:r>
        <w:rPr>
          <w:rFonts w:ascii="仿宋" w:hAnsi="仿宋" w:eastAsia="仿宋" w:cs="Times New Roman"/>
          <w:kern w:val="2"/>
          <w:sz w:val="32"/>
          <w:szCs w:val="32"/>
        </w:rPr>
        <w:t>打造成为粤东西北地区融入粤港澳大湾区的先行市</w:t>
      </w:r>
      <w:r>
        <w:rPr>
          <w:rFonts w:hint="eastAsia" w:ascii="仿宋" w:hAnsi="仿宋" w:eastAsia="仿宋" w:cs="Times New Roman"/>
          <w:kern w:val="2"/>
          <w:sz w:val="32"/>
          <w:szCs w:val="32"/>
        </w:rPr>
        <w:t>。</w:t>
      </w:r>
      <w:r>
        <w:rPr>
          <w:rFonts w:ascii="仿宋" w:hAnsi="仿宋" w:eastAsia="仿宋" w:cs="Times New Roman"/>
          <w:kern w:val="2"/>
          <w:sz w:val="32"/>
          <w:szCs w:val="32"/>
        </w:rPr>
        <w:t xml:space="preserve"> </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bCs/>
          <w:sz w:val="32"/>
          <w:szCs w:val="32"/>
        </w:rPr>
        <w:t>对接南北国家战略，打造深化省际合作的重要枢纽。</w:t>
      </w:r>
      <w:r>
        <w:rPr>
          <w:rFonts w:hint="eastAsia" w:ascii="仿宋" w:hAnsi="仿宋" w:eastAsia="仿宋"/>
          <w:sz w:val="32"/>
          <w:szCs w:val="32"/>
        </w:rPr>
        <w:t>积极参与国家南北战略对接，打造省际合作的重要枢纽，推动南北区域协调发展。构建南北产业协同示范平台，一方面加快引进京津冀、长三角在华南布局项目，夯实生产制造业基础，</w:t>
      </w:r>
      <w:r>
        <w:rPr>
          <w:rFonts w:ascii="仿宋" w:hAnsi="仿宋" w:eastAsia="仿宋"/>
          <w:sz w:val="32"/>
          <w:szCs w:val="32"/>
        </w:rPr>
        <w:t>支持</w:t>
      </w:r>
      <w:r>
        <w:rPr>
          <w:rFonts w:hint="eastAsia" w:ascii="仿宋" w:hAnsi="仿宋" w:eastAsia="仿宋"/>
          <w:sz w:val="32"/>
          <w:szCs w:val="32"/>
        </w:rPr>
        <w:t>区内</w:t>
      </w:r>
      <w:r>
        <w:rPr>
          <w:rFonts w:ascii="仿宋" w:hAnsi="仿宋" w:eastAsia="仿宋"/>
          <w:sz w:val="32"/>
          <w:szCs w:val="32"/>
        </w:rPr>
        <w:t>科技服务机构与</w:t>
      </w:r>
      <w:r>
        <w:rPr>
          <w:rFonts w:hint="eastAsia" w:ascii="仿宋" w:hAnsi="仿宋" w:eastAsia="仿宋"/>
          <w:sz w:val="32"/>
          <w:szCs w:val="32"/>
        </w:rPr>
        <w:t>外省</w:t>
      </w:r>
      <w:r>
        <w:rPr>
          <w:rFonts w:ascii="仿宋" w:hAnsi="仿宋" w:eastAsia="仿宋"/>
          <w:sz w:val="32"/>
          <w:szCs w:val="32"/>
        </w:rPr>
        <w:t>高校开展科技合作，努力形成联合开发、优势互补、成果共享、风险共担的产学研用合作新机制。</w:t>
      </w:r>
      <w:r>
        <w:rPr>
          <w:rFonts w:hint="eastAsia" w:ascii="仿宋" w:hAnsi="仿宋" w:eastAsia="仿宋"/>
          <w:sz w:val="32"/>
          <w:szCs w:val="32"/>
        </w:rPr>
        <w:t>另一方面打造新兴产业示范模板区，推广宣传广东在新兴产业领域的先进技术和龙头企业，成为北方地区引进广东先进技术经验的“样板间”。同时，发挥清城区独特的区位优势、产业基础和道路交通设施，继续巩固粤湘桂边界产业与贸易集散中心的地位，打造成为“广货”北上西进的省际合作综合枢纽。</w:t>
      </w:r>
    </w:p>
    <w:p>
      <w:pPr>
        <w:pStyle w:val="3"/>
        <w:adjustRightInd w:val="0"/>
        <w:snapToGrid w:val="0"/>
        <w:spacing w:line="360" w:lineRule="auto"/>
        <w:ind w:firstLine="643" w:firstLineChars="200"/>
        <w:rPr>
          <w:rFonts w:ascii="黑体" w:hAnsi="黑体" w:eastAsia="黑体"/>
          <w:sz w:val="32"/>
          <w:szCs w:val="32"/>
          <w:shd w:val="clear" w:color="auto" w:fill="FFFFFF"/>
        </w:rPr>
      </w:pPr>
      <w:bookmarkStart w:id="46" w:name="_Toc52368135"/>
      <w:bookmarkStart w:id="47" w:name="_Toc70236883"/>
      <w:r>
        <w:rPr>
          <w:rFonts w:hint="eastAsia" w:ascii="黑体" w:hAnsi="黑体" w:eastAsia="黑体"/>
          <w:sz w:val="32"/>
          <w:szCs w:val="32"/>
          <w:shd w:val="clear" w:color="auto" w:fill="FFFFFF"/>
        </w:rPr>
        <w:t>四、加快基础设施协同发展，全面提升基础设施保障水平</w:t>
      </w:r>
      <w:bookmarkEnd w:id="46"/>
      <w:r>
        <w:rPr>
          <w:rFonts w:hint="eastAsia" w:ascii="黑体" w:hAnsi="黑体" w:eastAsia="黑体"/>
          <w:sz w:val="32"/>
          <w:szCs w:val="32"/>
          <w:shd w:val="clear" w:color="auto" w:fill="FFFFFF"/>
        </w:rPr>
        <w:t>。</w:t>
      </w:r>
      <w:bookmarkEnd w:id="47"/>
    </w:p>
    <w:p>
      <w:pPr>
        <w:pStyle w:val="4"/>
        <w:adjustRightInd w:val="0"/>
        <w:snapToGrid w:val="0"/>
        <w:spacing w:line="360" w:lineRule="auto"/>
        <w:ind w:firstLine="643" w:firstLineChars="200"/>
        <w:rPr>
          <w:rFonts w:ascii="仿宋" w:hAnsi="仿宋" w:eastAsia="仿宋"/>
          <w:shd w:val="clear" w:color="auto" w:fill="FFFFFF"/>
        </w:rPr>
      </w:pPr>
      <w:bookmarkStart w:id="48" w:name="_Toc70236884"/>
      <w:bookmarkStart w:id="49" w:name="_Toc52368136"/>
      <w:r>
        <w:rPr>
          <w:rFonts w:hint="eastAsia" w:ascii="仿宋" w:hAnsi="仿宋" w:eastAsia="仿宋"/>
          <w:shd w:val="clear" w:color="auto" w:fill="FFFFFF"/>
        </w:rPr>
        <w:t>（一）推动交通运输网络一体互联，打造</w:t>
      </w:r>
      <w:r>
        <w:rPr>
          <w:rFonts w:ascii="仿宋" w:hAnsi="仿宋" w:eastAsia="仿宋"/>
          <w:shd w:val="clear" w:color="auto" w:fill="FFFFFF"/>
        </w:rPr>
        <w:t>南融北拓</w:t>
      </w:r>
      <w:r>
        <w:rPr>
          <w:rFonts w:hint="eastAsia" w:ascii="仿宋" w:hAnsi="仿宋" w:eastAsia="仿宋"/>
          <w:shd w:val="clear" w:color="auto" w:fill="FFFFFF"/>
        </w:rPr>
        <w:t>交通枢纽。</w:t>
      </w:r>
      <w:bookmarkEnd w:id="48"/>
      <w:bookmarkEnd w:id="49"/>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加快城际轨道交通建设，</w:t>
      </w:r>
      <w:r>
        <w:rPr>
          <w:rFonts w:ascii="仿宋" w:hAnsi="仿宋" w:eastAsia="仿宋"/>
          <w:b/>
          <w:sz w:val="32"/>
          <w:szCs w:val="32"/>
        </w:rPr>
        <w:t>打造</w:t>
      </w:r>
      <w:r>
        <w:rPr>
          <w:rFonts w:hint="eastAsia" w:ascii="仿宋" w:hAnsi="仿宋" w:eastAsia="仿宋"/>
          <w:b/>
          <w:sz w:val="32"/>
          <w:szCs w:val="32"/>
        </w:rPr>
        <w:t>区域</w:t>
      </w:r>
      <w:r>
        <w:rPr>
          <w:rFonts w:ascii="仿宋" w:hAnsi="仿宋" w:eastAsia="仿宋"/>
          <w:b/>
          <w:sz w:val="32"/>
          <w:szCs w:val="32"/>
        </w:rPr>
        <w:t>综合交通枢纽</w:t>
      </w:r>
      <w:r>
        <w:rPr>
          <w:rFonts w:hint="eastAsia" w:ascii="仿宋" w:hAnsi="仿宋" w:eastAsia="仿宋"/>
          <w:b/>
          <w:sz w:val="32"/>
          <w:szCs w:val="32"/>
        </w:rPr>
        <w:t>。</w:t>
      </w:r>
      <w:r>
        <w:rPr>
          <w:rFonts w:hint="eastAsia" w:ascii="仿宋" w:hAnsi="仿宋" w:eastAsia="仿宋"/>
          <w:sz w:val="32"/>
          <w:szCs w:val="32"/>
        </w:rPr>
        <w:t>紧抓广清一体化发展和中央鼓励轨道交通建设机遇，加快推进广清永高铁、广清城际二期、清远磁悬浮旅游专线等重大轨道项目，积极配合市研究规划广州地铁18、36号线延伸至清远项目，</w:t>
      </w:r>
      <w:r>
        <w:rPr>
          <w:rFonts w:ascii="仿宋" w:hAnsi="仿宋" w:eastAsia="仿宋"/>
          <w:sz w:val="32"/>
          <w:szCs w:val="32"/>
        </w:rPr>
        <w:t>实现广清轨道交通网络一体化</w:t>
      </w:r>
      <w:r>
        <w:rPr>
          <w:rFonts w:hint="eastAsia" w:ascii="仿宋" w:hAnsi="仿宋" w:eastAsia="仿宋"/>
          <w:sz w:val="32"/>
          <w:szCs w:val="32"/>
        </w:rPr>
        <w:t>。充分发挥京广高铁和京广铁路的作用，形成高铁+城轨+跨市地铁+普通铁路轨道交通模式，实现广清两市轨道交通的高效衔接。</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完善高快速交通网络，</w:t>
      </w:r>
      <w:r>
        <w:rPr>
          <w:rFonts w:ascii="仿宋" w:hAnsi="仿宋" w:eastAsia="仿宋"/>
          <w:b/>
          <w:sz w:val="32"/>
          <w:szCs w:val="32"/>
        </w:rPr>
        <w:t>高效连通粤港澳大湾区</w:t>
      </w:r>
      <w:r>
        <w:rPr>
          <w:rFonts w:hint="eastAsia" w:ascii="仿宋" w:hAnsi="仿宋" w:eastAsia="仿宋"/>
          <w:b/>
          <w:sz w:val="32"/>
          <w:szCs w:val="32"/>
        </w:rPr>
        <w:t>。</w:t>
      </w:r>
      <w:r>
        <w:rPr>
          <w:rFonts w:hint="eastAsia" w:ascii="仿宋" w:hAnsi="仿宋" w:eastAsia="仿宋"/>
          <w:sz w:val="32"/>
          <w:szCs w:val="32"/>
        </w:rPr>
        <w:t>构建广清两市以高速公路与城市快速路、主次干道为主体的道路衔接系统，推动</w:t>
      </w:r>
      <w:bookmarkStart w:id="50" w:name="_Hlk65086339"/>
      <w:r>
        <w:rPr>
          <w:rFonts w:hint="eastAsia" w:ascii="仿宋" w:hAnsi="仿宋" w:eastAsia="仿宋"/>
          <w:sz w:val="32"/>
          <w:szCs w:val="32"/>
        </w:rPr>
        <w:t>两市中心城区</w:t>
      </w:r>
      <w:bookmarkEnd w:id="50"/>
      <w:r>
        <w:rPr>
          <w:rFonts w:hint="eastAsia" w:ascii="仿宋" w:hAnsi="仿宋" w:eastAsia="仿宋"/>
          <w:sz w:val="32"/>
          <w:szCs w:val="32"/>
        </w:rPr>
        <w:t>以及两市边界重点对接区域道路互联互通。加快推进广连高速、佛清从高速等清城段项目规划建设，布局广清永高铁途经区域快速公路，进一步完善清远至广州天河</w:t>
      </w:r>
      <w:r>
        <w:rPr>
          <w:rFonts w:ascii="仿宋" w:hAnsi="仿宋" w:eastAsia="仿宋"/>
          <w:sz w:val="32"/>
          <w:szCs w:val="32"/>
        </w:rPr>
        <w:t>CBD地区</w:t>
      </w:r>
      <w:r>
        <w:rPr>
          <w:rFonts w:hint="eastAsia" w:ascii="仿宋" w:hAnsi="仿宋" w:eastAsia="仿宋"/>
          <w:sz w:val="32"/>
          <w:szCs w:val="32"/>
        </w:rPr>
        <w:t>、白云机场等重要节点的高快速路，打造高效衔接的高快速交通网。完善清城区高速公路的管理、养护和维修机制，加强主要交通节点的出入口改造，提高城区对外出行效率，助推城区高速公路对接国省道。</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构建立体化多式联运系统，打造区域集疏运体系。</w:t>
      </w:r>
      <w:r>
        <w:rPr>
          <w:rFonts w:hint="eastAsia" w:ascii="仿宋" w:hAnsi="仿宋" w:eastAsia="仿宋"/>
          <w:sz w:val="32"/>
          <w:szCs w:val="32"/>
        </w:rPr>
        <w:t>着力完善源潭物流园基础配套设施，主动承接粤港澳大湾区仓储物流产业外溢，推进城际清远源潭综合物流产业园项目、广东锦邦冷链仓储物流园项目建设，配套发展城市配送、冷链物流、电商物流、医药物流、跨境保税物流、供应链管理等为主体的现代物流新业态，构建全球一流的公路、铁路、空港多式联运新型物流枢纽中心，培育和发展打造粤港澳大湾区的“后勤”基地和重要通道。</w:t>
      </w:r>
    </w:p>
    <w:p>
      <w:pPr>
        <w:pStyle w:val="4"/>
        <w:adjustRightInd w:val="0"/>
        <w:snapToGrid w:val="0"/>
        <w:spacing w:line="360" w:lineRule="auto"/>
        <w:ind w:firstLine="643" w:firstLineChars="200"/>
        <w:rPr>
          <w:rFonts w:ascii="仿宋" w:hAnsi="仿宋" w:eastAsia="仿宋"/>
          <w:shd w:val="clear" w:color="auto" w:fill="FFFFFF"/>
        </w:rPr>
      </w:pPr>
      <w:bookmarkStart w:id="51" w:name="_Hlk48387612"/>
      <w:bookmarkStart w:id="52" w:name="_Toc52368137"/>
      <w:bookmarkStart w:id="53" w:name="_Toc70236885"/>
      <w:r>
        <w:rPr>
          <w:rFonts w:hint="eastAsia" w:ascii="仿宋" w:hAnsi="仿宋" w:eastAsia="仿宋"/>
          <w:shd w:val="clear" w:color="auto" w:fill="FFFFFF"/>
        </w:rPr>
        <w:t>（二）以信息基础设施</w:t>
      </w:r>
      <w:bookmarkEnd w:id="51"/>
      <w:r>
        <w:rPr>
          <w:rFonts w:hint="eastAsia" w:ascii="仿宋" w:hAnsi="仿宋" w:eastAsia="仿宋"/>
          <w:shd w:val="clear" w:color="auto" w:fill="FFFFFF"/>
        </w:rPr>
        <w:t>为抓手，推动新型基础设施协同建设。</w:t>
      </w:r>
      <w:bookmarkEnd w:id="52"/>
      <w:bookmarkEnd w:id="53"/>
    </w:p>
    <w:p>
      <w:pPr>
        <w:adjustRightInd w:val="0"/>
        <w:snapToGrid w:val="0"/>
        <w:spacing w:line="360" w:lineRule="auto"/>
        <w:ind w:firstLine="640"/>
        <w:rPr>
          <w:rFonts w:ascii="仿宋" w:hAnsi="仿宋" w:eastAsia="仿宋"/>
          <w:sz w:val="32"/>
          <w:szCs w:val="32"/>
        </w:rPr>
      </w:pPr>
      <w:r>
        <w:rPr>
          <w:rFonts w:hint="eastAsia" w:ascii="仿宋" w:hAnsi="仿宋" w:eastAsia="仿宋"/>
          <w:b/>
          <w:sz w:val="32"/>
          <w:szCs w:val="32"/>
        </w:rPr>
        <w:t>着力推进新一代信息基础设施协同建设。</w:t>
      </w:r>
      <w:r>
        <w:rPr>
          <w:rFonts w:hint="eastAsia" w:ascii="仿宋" w:hAnsi="仿宋" w:eastAsia="仿宋"/>
          <w:sz w:val="32"/>
          <w:szCs w:val="32"/>
        </w:rPr>
        <w:t>以5G网络、高速光网、互联网协议第六版（IPv6）、移动物联网、工业互联网建设为重点，打造高速、移动、安全、泛在的新一代信息基础设施网络，推动清远信息基础设施发展水平进入全省粤东西北城市前列。</w:t>
      </w:r>
      <w:r>
        <w:rPr>
          <w:rFonts w:ascii="仿宋" w:hAnsi="仿宋" w:eastAsia="仿宋"/>
          <w:sz w:val="32"/>
          <w:szCs w:val="32"/>
        </w:rPr>
        <w:t>加强国家级互联网骨干直联点工程建设，实施骨干网络优化工程，构建以广州为起点至清远直达通信链路，全面提高</w:t>
      </w:r>
      <w:r>
        <w:rPr>
          <w:rFonts w:hint="eastAsia" w:ascii="仿宋" w:hAnsi="仿宋" w:eastAsia="仿宋"/>
          <w:sz w:val="32"/>
          <w:szCs w:val="32"/>
        </w:rPr>
        <w:t>城区</w:t>
      </w:r>
      <w:r>
        <w:rPr>
          <w:rFonts w:ascii="仿宋" w:hAnsi="仿宋" w:eastAsia="仿宋"/>
          <w:sz w:val="32"/>
          <w:szCs w:val="32"/>
        </w:rPr>
        <w:t>与广州信息基础</w:t>
      </w:r>
      <w:r>
        <w:rPr>
          <w:rFonts w:hint="eastAsia" w:ascii="仿宋" w:hAnsi="仿宋" w:eastAsia="仿宋"/>
          <w:sz w:val="32"/>
          <w:szCs w:val="32"/>
        </w:rPr>
        <w:t>设施互联互通水平。</w:t>
      </w:r>
    </w:p>
    <w:p>
      <w:pPr>
        <w:adjustRightInd w:val="0"/>
        <w:snapToGrid w:val="0"/>
        <w:spacing w:line="360" w:lineRule="auto"/>
        <w:ind w:firstLine="640"/>
        <w:rPr>
          <w:rFonts w:ascii="仿宋" w:hAnsi="仿宋" w:eastAsia="仿宋"/>
          <w:sz w:val="32"/>
          <w:szCs w:val="32"/>
        </w:rPr>
      </w:pPr>
      <w:r>
        <w:rPr>
          <w:rFonts w:hint="eastAsia" w:ascii="仿宋" w:hAnsi="仿宋" w:eastAsia="仿宋"/>
          <w:b/>
          <w:sz w:val="32"/>
          <w:szCs w:val="32"/>
        </w:rPr>
        <w:t>加快行业大数据中心建设。</w:t>
      </w:r>
      <w:r>
        <w:rPr>
          <w:rFonts w:hint="eastAsia" w:ascii="仿宋" w:hAnsi="仿宋" w:eastAsia="仿宋"/>
          <w:sz w:val="32"/>
          <w:szCs w:val="32"/>
        </w:rPr>
        <w:t>以腾讯清远云计算数据中心的建设为契机，吸引广州、深圳等地的科技企业、互联网企业到清城区建设各类数据中心，</w:t>
      </w:r>
      <w:r>
        <w:rPr>
          <w:rFonts w:ascii="仿宋" w:hAnsi="仿宋" w:eastAsia="仿宋"/>
          <w:sz w:val="32"/>
          <w:szCs w:val="32"/>
        </w:rPr>
        <w:t>将云计算、大数据、区块链、人工智能、视频播放等中时延应用逐步迁移至清远，助力清远打造数据中心集聚区</w:t>
      </w:r>
      <w:r>
        <w:rPr>
          <w:rFonts w:hint="eastAsia" w:ascii="仿宋" w:hAnsi="仿宋" w:eastAsia="仿宋"/>
          <w:sz w:val="32"/>
          <w:szCs w:val="32"/>
        </w:rPr>
        <w:t>。深入推进“互联网</w:t>
      </w:r>
      <w:r>
        <w:rPr>
          <w:rFonts w:ascii="仿宋" w:hAnsi="仿宋" w:eastAsia="仿宋"/>
          <w:sz w:val="32"/>
          <w:szCs w:val="32"/>
        </w:rPr>
        <w:t>+先进制造业”</w:t>
      </w:r>
      <w:r>
        <w:rPr>
          <w:rFonts w:hint="eastAsia" w:ascii="仿宋" w:hAnsi="仿宋" w:eastAsia="仿宋"/>
          <w:sz w:val="32"/>
          <w:szCs w:val="32"/>
        </w:rPr>
        <w:t>建设</w:t>
      </w:r>
      <w:r>
        <w:rPr>
          <w:rFonts w:ascii="仿宋" w:hAnsi="仿宋" w:eastAsia="仿宋"/>
          <w:sz w:val="32"/>
          <w:szCs w:val="32"/>
        </w:rPr>
        <w:t>，大力发展全网赋能的工业互联网，打造一批跨区域、跨行业、跨领域的工业互联网平台，整合产业链上下游优质资源</w:t>
      </w:r>
      <w:r>
        <w:rPr>
          <w:rFonts w:hint="eastAsia" w:ascii="仿宋" w:hAnsi="仿宋" w:eastAsia="仿宋"/>
          <w:sz w:val="32"/>
          <w:szCs w:val="32"/>
        </w:rPr>
        <w:t>，</w:t>
      </w:r>
      <w:r>
        <w:rPr>
          <w:rFonts w:ascii="仿宋" w:hAnsi="仿宋" w:eastAsia="仿宋"/>
          <w:sz w:val="32"/>
          <w:szCs w:val="32"/>
        </w:rPr>
        <w:t>引导</w:t>
      </w:r>
      <w:r>
        <w:rPr>
          <w:rFonts w:hint="eastAsia" w:ascii="仿宋" w:hAnsi="仿宋" w:eastAsia="仿宋"/>
          <w:sz w:val="32"/>
          <w:szCs w:val="32"/>
        </w:rPr>
        <w:t>清城区企业“</w:t>
      </w:r>
      <w:r>
        <w:rPr>
          <w:rFonts w:ascii="仿宋" w:hAnsi="仿宋" w:eastAsia="仿宋"/>
          <w:sz w:val="32"/>
          <w:szCs w:val="32"/>
        </w:rPr>
        <w:t>上云上平台</w:t>
      </w:r>
      <w:r>
        <w:rPr>
          <w:rFonts w:hint="eastAsia" w:ascii="仿宋" w:hAnsi="仿宋" w:eastAsia="仿宋"/>
          <w:sz w:val="32"/>
          <w:szCs w:val="32"/>
        </w:rPr>
        <w:t>”，提升工业企业数字化、网络化、智能化水平</w:t>
      </w:r>
      <w:r>
        <w:rPr>
          <w:rFonts w:ascii="仿宋" w:hAnsi="仿宋" w:eastAsia="仿宋"/>
          <w:sz w:val="32"/>
          <w:szCs w:val="32"/>
        </w:rPr>
        <w:t>。</w:t>
      </w:r>
    </w:p>
    <w:p>
      <w:pPr>
        <w:pStyle w:val="4"/>
        <w:adjustRightInd w:val="0"/>
        <w:snapToGrid w:val="0"/>
        <w:spacing w:line="360" w:lineRule="auto"/>
        <w:ind w:firstLine="643" w:firstLineChars="200"/>
        <w:rPr>
          <w:rFonts w:ascii="仿宋" w:hAnsi="仿宋" w:eastAsia="仿宋"/>
          <w:shd w:val="clear" w:color="auto" w:fill="FFFFFF"/>
        </w:rPr>
      </w:pPr>
      <w:bookmarkStart w:id="54" w:name="_Toc52368138"/>
      <w:bookmarkStart w:id="55" w:name="_Toc70236886"/>
      <w:r>
        <w:rPr>
          <w:rFonts w:hint="eastAsia" w:ascii="仿宋" w:hAnsi="仿宋" w:eastAsia="仿宋"/>
          <w:shd w:val="clear" w:color="auto" w:fill="FFFFFF"/>
        </w:rPr>
        <w:t>（三）建设完善一体化的能源保障体系和水利基础设施</w:t>
      </w:r>
      <w:bookmarkEnd w:id="54"/>
      <w:r>
        <w:rPr>
          <w:rFonts w:hint="eastAsia" w:ascii="仿宋" w:hAnsi="仿宋" w:eastAsia="仿宋"/>
          <w:shd w:val="clear" w:color="auto" w:fill="FFFFFF"/>
        </w:rPr>
        <w:t>。</w:t>
      </w:r>
      <w:bookmarkEnd w:id="55"/>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推动电网改造提升，优化区域电网输配体系。</w:t>
      </w:r>
      <w:r>
        <w:rPr>
          <w:rFonts w:hint="eastAsia" w:ascii="仿宋" w:hAnsi="仿宋" w:eastAsia="仿宋"/>
          <w:sz w:val="32"/>
          <w:szCs w:val="32"/>
        </w:rPr>
        <w:t>推动清城区内电网的硬件和软件的升级改造，提高电网配电能力，</w:t>
      </w:r>
      <w:r>
        <w:rPr>
          <w:rFonts w:ascii="仿宋" w:hAnsi="仿宋" w:eastAsia="仿宋"/>
          <w:sz w:val="32"/>
          <w:szCs w:val="32"/>
        </w:rPr>
        <w:t>以广州打造开发区新能源综合利用示范区为契机</w:t>
      </w:r>
      <w:r>
        <w:rPr>
          <w:rFonts w:hint="eastAsia" w:ascii="仿宋" w:hAnsi="仿宋" w:eastAsia="仿宋"/>
          <w:sz w:val="32"/>
          <w:szCs w:val="32"/>
        </w:rPr>
        <w:t>，</w:t>
      </w:r>
      <w:r>
        <w:rPr>
          <w:rFonts w:ascii="仿宋" w:hAnsi="仿宋" w:eastAsia="仿宋"/>
          <w:sz w:val="32"/>
          <w:szCs w:val="32"/>
        </w:rPr>
        <w:t>带动清远加快光伏发电的推广应</w:t>
      </w:r>
      <w:r>
        <w:rPr>
          <w:rFonts w:hint="eastAsia" w:ascii="仿宋" w:hAnsi="仿宋" w:eastAsia="仿宋"/>
          <w:sz w:val="32"/>
          <w:szCs w:val="32"/>
        </w:rPr>
        <w:t>用。优化输电、变电、配电到用电的各个环节，实现技术、设备、运行和管理等各个方面的提升，以适应电力市场需求，着力打造安全、可靠、高效的现代化电网配输体系。</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建成与大湾区一体化的油品输送网络。</w:t>
      </w:r>
      <w:r>
        <w:rPr>
          <w:rFonts w:hint="eastAsia" w:ascii="仿宋" w:hAnsi="仿宋" w:eastAsia="仿宋"/>
          <w:sz w:val="32"/>
          <w:szCs w:val="32"/>
        </w:rPr>
        <w:t>完善清城区与清远高新区、广清合作园、广清空港物流产业新城油品输送网络的衔接和油气管网的线路规划，加快完善覆盖园区和企业的油气管网和加油站布局，增强成品油供应能力和应急保障能力。加快推进清城区和清远市内其他区县、珠三角地区相连接的成品油输送管道的建设，积极融入贯穿珠三角的统一成品油网络，打造区域一体化的成品油管网和油品储备体系。</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完善气源供应系统，推进天然气管道一体化建设。</w:t>
      </w:r>
      <w:r>
        <w:rPr>
          <w:rFonts w:hint="eastAsia" w:ascii="仿宋" w:hAnsi="仿宋" w:eastAsia="仿宋"/>
          <w:sz w:val="32"/>
          <w:szCs w:val="32"/>
        </w:rPr>
        <w:t>严格依法审批燃气管道工程建设，加强燃气管道的保护检查，严格监管燃气企业供应企业的安全工作，确保居民和企业用气安全和稳定，切实提高清城区的燃气供应保障能力。进一步推进天然气管道一体化建设，完善各类天然气管道的空间布局，加快推进天然气管道在中心城区和工业园区全覆盖。</w:t>
      </w:r>
    </w:p>
    <w:p>
      <w:pPr>
        <w:adjustRightInd w:val="0"/>
        <w:snapToGrid w:val="0"/>
        <w:spacing w:line="360" w:lineRule="auto"/>
        <w:ind w:firstLine="643" w:firstLineChars="200"/>
        <w:rPr>
          <w:rFonts w:ascii="仿宋" w:hAnsi="仿宋" w:eastAsia="仿宋"/>
          <w:sz w:val="32"/>
          <w:szCs w:val="32"/>
        </w:rPr>
      </w:pPr>
      <w:r>
        <w:rPr>
          <w:rFonts w:ascii="仿宋" w:hAnsi="仿宋" w:eastAsia="仿宋"/>
          <w:b/>
          <w:sz w:val="32"/>
          <w:szCs w:val="32"/>
        </w:rPr>
        <w:t>完善水资源配置体系，</w:t>
      </w:r>
      <w:r>
        <w:rPr>
          <w:rFonts w:hint="eastAsia" w:ascii="仿宋" w:hAnsi="仿宋" w:eastAsia="仿宋"/>
          <w:b/>
          <w:sz w:val="32"/>
          <w:szCs w:val="32"/>
        </w:rPr>
        <w:t>提高城乡安全供水效能。</w:t>
      </w:r>
      <w:r>
        <w:rPr>
          <w:rFonts w:hint="eastAsia" w:ascii="仿宋" w:hAnsi="仿宋" w:eastAsia="仿宋"/>
          <w:sz w:val="32"/>
          <w:szCs w:val="32"/>
        </w:rPr>
        <w:t>优化广清区域内引调水工程布局，合作开发利用珠江和北江的江河资源，加快推进广州北江引水工程等重大引水工程，因地制宜地建设一批大中型水库项目和备用水源工程，全面提升广清区域内供水安全保障水平。严格按照省定水功能区指标，提升北江段、迎咀水库的水质，保持地表饮用水Ⅱ级以上标准，助推城乡重点水源区保护工作。</w:t>
      </w:r>
    </w:p>
    <w:p>
      <w:pPr>
        <w:pStyle w:val="3"/>
        <w:adjustRightInd w:val="0"/>
        <w:snapToGrid w:val="0"/>
        <w:spacing w:line="360" w:lineRule="auto"/>
        <w:ind w:firstLine="880" w:firstLineChars="200"/>
        <w:rPr>
          <w:rFonts w:ascii="黑体" w:hAnsi="黑体" w:eastAsia="黑体"/>
          <w:sz w:val="32"/>
          <w:szCs w:val="32"/>
          <w:shd w:val="clear" w:color="auto" w:fill="FFFFFF"/>
        </w:rPr>
      </w:pPr>
      <w:r>
        <w:fldChar w:fldCharType="begin"/>
      </w:r>
      <w:r>
        <w:instrText xml:space="preserve"> HYPERLINK \l "_Toc50421885" </w:instrText>
      </w:r>
      <w:r>
        <w:fldChar w:fldCharType="separate"/>
      </w:r>
      <w:bookmarkStart w:id="56" w:name="_Toc52368139"/>
      <w:bookmarkStart w:id="57" w:name="_Toc70236887"/>
      <w:r>
        <w:rPr>
          <w:rFonts w:hint="eastAsia" w:ascii="黑体" w:hAnsi="黑体" w:eastAsia="黑体"/>
          <w:sz w:val="32"/>
          <w:szCs w:val="32"/>
          <w:shd w:val="clear" w:color="auto" w:fill="FFFFFF"/>
        </w:rPr>
        <w:t>五、加强互补共建，推进区域产业深度融合发展</w:t>
      </w:r>
      <w:bookmarkEnd w:id="56"/>
      <w:r>
        <w:rPr>
          <w:rFonts w:hint="eastAsia" w:ascii="黑体" w:hAnsi="黑体" w:eastAsia="黑体"/>
          <w:sz w:val="32"/>
          <w:szCs w:val="32"/>
          <w:shd w:val="clear" w:color="auto" w:fill="FFFFFF"/>
        </w:rPr>
        <w:t>。</w:t>
      </w:r>
      <w:bookmarkEnd w:id="57"/>
      <w:r>
        <w:rPr>
          <w:rFonts w:ascii="黑体" w:hAnsi="黑体" w:eastAsia="黑体"/>
          <w:sz w:val="32"/>
          <w:szCs w:val="32"/>
          <w:shd w:val="clear" w:color="auto" w:fill="FFFFFF"/>
        </w:rPr>
        <w:fldChar w:fldCharType="begin"/>
      </w:r>
      <w:r>
        <w:rPr>
          <w:rFonts w:ascii="黑体" w:hAnsi="黑体" w:eastAsia="黑体"/>
          <w:sz w:val="32"/>
          <w:szCs w:val="32"/>
          <w:shd w:val="clear" w:color="auto" w:fill="FFFFFF"/>
        </w:rPr>
        <w:instrText xml:space="preserve"> PAGEREF _Toc50421885 \h </w:instrText>
      </w:r>
      <w:r>
        <w:rPr>
          <w:rFonts w:ascii="黑体" w:hAnsi="黑体" w:eastAsia="黑体"/>
          <w:sz w:val="32"/>
          <w:szCs w:val="32"/>
          <w:shd w:val="clear" w:color="auto" w:fill="FFFFFF"/>
        </w:rPr>
        <w:fldChar w:fldCharType="end"/>
      </w:r>
      <w:r>
        <w:rPr>
          <w:rFonts w:ascii="黑体" w:hAnsi="黑体" w:eastAsia="黑体"/>
          <w:sz w:val="32"/>
          <w:szCs w:val="32"/>
          <w:shd w:val="clear" w:color="auto" w:fill="FFFFFF"/>
        </w:rPr>
        <w:fldChar w:fldCharType="end"/>
      </w:r>
    </w:p>
    <w:p>
      <w:pPr>
        <w:pStyle w:val="4"/>
        <w:adjustRightInd w:val="0"/>
        <w:snapToGrid w:val="0"/>
        <w:spacing w:line="360" w:lineRule="auto"/>
        <w:ind w:firstLine="643" w:firstLineChars="200"/>
        <w:rPr>
          <w:rFonts w:ascii="仿宋" w:hAnsi="仿宋" w:eastAsia="仿宋"/>
          <w:shd w:val="clear" w:color="auto" w:fill="FFFFFF"/>
        </w:rPr>
      </w:pPr>
      <w:bookmarkStart w:id="58" w:name="_Toc70236888"/>
      <w:r>
        <w:rPr>
          <w:rFonts w:hint="eastAsia" w:ascii="仿宋" w:hAnsi="仿宋" w:eastAsia="仿宋"/>
          <w:shd w:val="clear" w:color="auto" w:fill="FFFFFF"/>
        </w:rPr>
        <w:t>（一）推动广清产业一体化，加快“入珠融湾”步伐。</w:t>
      </w:r>
      <w:bookmarkEnd w:id="58"/>
    </w:p>
    <w:p>
      <w:pPr>
        <w:spacing w:line="640" w:lineRule="exact"/>
        <w:ind w:firstLine="640"/>
        <w:rPr>
          <w:rFonts w:ascii="仿宋" w:hAnsi="仿宋" w:eastAsia="仿宋"/>
          <w:sz w:val="32"/>
          <w:szCs w:val="32"/>
        </w:rPr>
      </w:pPr>
      <w:r>
        <w:rPr>
          <w:rFonts w:hint="eastAsia" w:ascii="仿宋" w:hAnsi="仿宋" w:eastAsia="仿宋"/>
          <w:sz w:val="32"/>
          <w:szCs w:val="32"/>
        </w:rPr>
        <w:t>加快广清产业一体化建设。依托广清产业发展基础，发挥各自比较优势，主动吸纳广州产业外溢，以产业转型升级为主线，以产业合作园区为载体，以产业创新与转化平台为依托，以先进材料、前沿新材料、安全应急与环保、先进制造业为重点，强化“整装+配套”“研发+生产”的合作对接，加强两市产业分工合作和有序转移承接，推动广清产业发展深度融合，构建广清产业联动发展新格局。</w:t>
      </w:r>
    </w:p>
    <w:p>
      <w:pPr>
        <w:spacing w:line="640" w:lineRule="exact"/>
        <w:ind w:firstLine="640"/>
        <w:rPr>
          <w:rFonts w:ascii="仿宋" w:hAnsi="仿宋" w:eastAsia="仿宋"/>
          <w:sz w:val="32"/>
          <w:szCs w:val="32"/>
        </w:rPr>
      </w:pPr>
      <w:r>
        <w:rPr>
          <w:rFonts w:hint="eastAsia" w:ascii="仿宋" w:hAnsi="仿宋" w:eastAsia="仿宋"/>
          <w:b/>
          <w:bCs/>
          <w:sz w:val="32"/>
          <w:szCs w:val="32"/>
        </w:rPr>
        <w:t>推动广清产业布局一体化。</w:t>
      </w:r>
      <w:r>
        <w:rPr>
          <w:rFonts w:hint="eastAsia" w:ascii="仿宋" w:hAnsi="仿宋" w:eastAsia="仿宋"/>
          <w:sz w:val="32"/>
          <w:szCs w:val="32"/>
        </w:rPr>
        <w:t>从“入珠融湾”层面，深入研究广清产业协同发展，聚焦两地优势互补的重点合作领域，积极探索“广州总装+清城配套”“广州前端+清城后台”等合作模式，推动产业跨区域整体布局，释放广州的发展空间，解决资源约束紧张等问题。在合作对接中注重提升供给体系质量，发挥清城后发优势，对清城传统产业进行现代化改造提升，有力有序淘汰落后产能，共同打造一批的具有核心竞争力的产业集群，共同培育新增长点、形成新动能。</w:t>
      </w:r>
    </w:p>
    <w:p>
      <w:pPr>
        <w:spacing w:line="640" w:lineRule="exact"/>
        <w:ind w:firstLine="640"/>
        <w:rPr>
          <w:rFonts w:ascii="仿宋" w:hAnsi="仿宋" w:eastAsia="仿宋"/>
          <w:sz w:val="32"/>
          <w:szCs w:val="32"/>
        </w:rPr>
      </w:pPr>
      <w:r>
        <w:rPr>
          <w:rFonts w:hint="eastAsia" w:ascii="仿宋" w:hAnsi="仿宋" w:eastAsia="仿宋"/>
          <w:b/>
          <w:bCs/>
          <w:sz w:val="32"/>
          <w:szCs w:val="32"/>
        </w:rPr>
        <w:t>努力探索广清协同创新一体化。</w:t>
      </w:r>
      <w:r>
        <w:rPr>
          <w:rFonts w:hint="eastAsia" w:ascii="仿宋" w:hAnsi="仿宋" w:eastAsia="仿宋"/>
          <w:sz w:val="32"/>
          <w:szCs w:val="32"/>
        </w:rPr>
        <w:t>利用广州“创新大脑”和“主引擎”的辐射带动作用，与清城形成优势互补，通过在广清两地探索实现 “广州研发+清城制造”“广州孵化+清城产业化”等协同创新模式，建立广清科技资源共享平台，支持清城在广州共建广清产业前端孵化器，对接区域创新优秀成果在清城加速转化，助推清城对接广深港澳科技创新走廊，促进大湾区相关科技创新成果到清城转化，促进产业要素流动和集聚，深入推进区域协同共赢。</w:t>
      </w:r>
    </w:p>
    <w:p>
      <w:pPr>
        <w:spacing w:line="640" w:lineRule="exact"/>
        <w:ind w:firstLine="640"/>
        <w:rPr>
          <w:rFonts w:ascii="仿宋" w:hAnsi="仿宋" w:eastAsia="仿宋"/>
          <w:sz w:val="32"/>
          <w:szCs w:val="32"/>
        </w:rPr>
      </w:pPr>
      <w:r>
        <w:rPr>
          <w:rFonts w:hint="eastAsia" w:ascii="仿宋" w:hAnsi="仿宋" w:eastAsia="仿宋"/>
          <w:b/>
          <w:bCs/>
          <w:sz w:val="32"/>
          <w:szCs w:val="32"/>
        </w:rPr>
        <w:t>加快广清两地</w:t>
      </w:r>
      <w:r>
        <w:rPr>
          <w:rFonts w:ascii="仿宋" w:hAnsi="仿宋" w:eastAsia="仿宋"/>
          <w:b/>
          <w:bCs/>
          <w:sz w:val="32"/>
          <w:szCs w:val="32"/>
        </w:rPr>
        <w:t>市场一体化建设。</w:t>
      </w:r>
      <w:r>
        <w:rPr>
          <w:rFonts w:ascii="仿宋" w:hAnsi="仿宋" w:eastAsia="仿宋"/>
          <w:sz w:val="32"/>
          <w:szCs w:val="32"/>
        </w:rPr>
        <w:t>充分发挥广州人才、技术、资本等资源优势，推动两地市场开放共享，打造一批资源配置枢纽。对接清</w:t>
      </w:r>
      <w:r>
        <w:rPr>
          <w:rFonts w:hint="eastAsia" w:ascii="仿宋" w:hAnsi="仿宋" w:eastAsia="仿宋"/>
          <w:sz w:val="32"/>
          <w:szCs w:val="32"/>
        </w:rPr>
        <w:t>城</w:t>
      </w:r>
      <w:r>
        <w:rPr>
          <w:rFonts w:ascii="仿宋" w:hAnsi="仿宋" w:eastAsia="仿宋"/>
          <w:sz w:val="32"/>
          <w:szCs w:val="32"/>
        </w:rPr>
        <w:t>农业资源与广州市场，共建“前店后场”都市农业市场体系，把清</w:t>
      </w:r>
      <w:r>
        <w:rPr>
          <w:rFonts w:hint="eastAsia" w:ascii="仿宋" w:hAnsi="仿宋" w:eastAsia="仿宋"/>
          <w:sz w:val="32"/>
          <w:szCs w:val="32"/>
        </w:rPr>
        <w:t>城</w:t>
      </w:r>
      <w:r>
        <w:rPr>
          <w:rFonts w:ascii="仿宋" w:hAnsi="仿宋" w:eastAsia="仿宋"/>
          <w:sz w:val="32"/>
          <w:szCs w:val="32"/>
        </w:rPr>
        <w:t>天然的优质农产品、绿色产品，更多更好地推向粤港澳大湾区。以广清</w:t>
      </w:r>
      <w:r>
        <w:rPr>
          <w:rFonts w:hint="eastAsia" w:ascii="仿宋" w:hAnsi="仿宋" w:eastAsia="仿宋"/>
          <w:sz w:val="32"/>
          <w:szCs w:val="32"/>
        </w:rPr>
        <w:t>空港</w:t>
      </w:r>
      <w:r>
        <w:rPr>
          <w:rFonts w:ascii="仿宋" w:hAnsi="仿宋" w:eastAsia="仿宋"/>
          <w:sz w:val="32"/>
          <w:szCs w:val="32"/>
        </w:rPr>
        <w:t>现代物流产业新城共建为抓手，加快交通互联互通，协调推动检验检疫、海关、保税、金融等方面的机构参与，吸引以大宗商品专业市场、现代商贸及物流企业集聚发展，形成辐射湾区的供应链服务枢纽。有效整合广州北、</w:t>
      </w:r>
      <w:r>
        <w:rPr>
          <w:rFonts w:hint="eastAsia" w:ascii="仿宋" w:hAnsi="仿宋" w:eastAsia="仿宋"/>
          <w:sz w:val="32"/>
          <w:szCs w:val="32"/>
        </w:rPr>
        <w:t>清城</w:t>
      </w:r>
      <w:r>
        <w:rPr>
          <w:rFonts w:ascii="仿宋" w:hAnsi="仿宋" w:eastAsia="仿宋"/>
          <w:sz w:val="32"/>
          <w:szCs w:val="32"/>
        </w:rPr>
        <w:t>的旅游资源，加强与港澳旅游行业对接合作，建设</w:t>
      </w:r>
      <w:r>
        <w:rPr>
          <w:rFonts w:hint="eastAsia" w:ascii="仿宋" w:hAnsi="仿宋" w:eastAsia="仿宋"/>
          <w:sz w:val="32"/>
          <w:szCs w:val="32"/>
        </w:rPr>
        <w:t>粤港澳大湾区北部生态文化旅游合作区</w:t>
      </w:r>
      <w:r>
        <w:rPr>
          <w:rFonts w:ascii="仿宋" w:hAnsi="仿宋" w:eastAsia="仿宋"/>
          <w:sz w:val="32"/>
          <w:szCs w:val="32"/>
        </w:rPr>
        <w:t>，</w:t>
      </w:r>
      <w:r>
        <w:rPr>
          <w:rFonts w:hint="eastAsia" w:ascii="仿宋" w:hAnsi="仿宋" w:eastAsia="仿宋"/>
          <w:sz w:val="32"/>
          <w:szCs w:val="32"/>
        </w:rPr>
        <w:t>探索</w:t>
      </w:r>
      <w:r>
        <w:rPr>
          <w:rFonts w:ascii="仿宋" w:hAnsi="仿宋" w:eastAsia="仿宋"/>
          <w:sz w:val="32"/>
          <w:szCs w:val="32"/>
        </w:rPr>
        <w:t>合作区创建国家级全域旅游示范区。</w:t>
      </w:r>
    </w:p>
    <w:p>
      <w:pPr>
        <w:spacing w:line="640" w:lineRule="exact"/>
        <w:ind w:firstLine="640"/>
        <w:rPr>
          <w:rFonts w:ascii="仿宋" w:hAnsi="仿宋" w:eastAsia="仿宋"/>
          <w:sz w:val="32"/>
          <w:szCs w:val="32"/>
        </w:rPr>
      </w:pPr>
      <w:r>
        <w:rPr>
          <w:rFonts w:hint="eastAsia" w:ascii="仿宋" w:hAnsi="仿宋" w:eastAsia="仿宋"/>
          <w:b/>
          <w:bCs/>
          <w:sz w:val="32"/>
          <w:szCs w:val="32"/>
        </w:rPr>
        <w:t>积极推动广清</w:t>
      </w:r>
      <w:r>
        <w:rPr>
          <w:rFonts w:ascii="仿宋" w:hAnsi="仿宋" w:eastAsia="仿宋"/>
          <w:b/>
          <w:bCs/>
          <w:sz w:val="32"/>
          <w:szCs w:val="32"/>
        </w:rPr>
        <w:t>营商环境一体化</w:t>
      </w:r>
      <w:r>
        <w:rPr>
          <w:rFonts w:hint="eastAsia" w:ascii="仿宋" w:hAnsi="仿宋" w:eastAsia="仿宋"/>
          <w:b/>
          <w:bCs/>
          <w:sz w:val="32"/>
          <w:szCs w:val="32"/>
        </w:rPr>
        <w:t>发展</w:t>
      </w:r>
      <w:r>
        <w:rPr>
          <w:rFonts w:ascii="仿宋" w:hAnsi="仿宋" w:eastAsia="仿宋"/>
          <w:b/>
          <w:bCs/>
          <w:sz w:val="32"/>
          <w:szCs w:val="32"/>
        </w:rPr>
        <w:t>。</w:t>
      </w:r>
      <w:r>
        <w:rPr>
          <w:rFonts w:ascii="仿宋" w:hAnsi="仿宋" w:eastAsia="仿宋"/>
          <w:sz w:val="32"/>
          <w:szCs w:val="32"/>
        </w:rPr>
        <w:t>在清</w:t>
      </w:r>
      <w:r>
        <w:rPr>
          <w:rFonts w:hint="eastAsia" w:ascii="仿宋" w:hAnsi="仿宋" w:eastAsia="仿宋"/>
          <w:sz w:val="32"/>
          <w:szCs w:val="32"/>
        </w:rPr>
        <w:t>城</w:t>
      </w:r>
      <w:r>
        <w:rPr>
          <w:rFonts w:ascii="仿宋" w:hAnsi="仿宋" w:eastAsia="仿宋"/>
          <w:sz w:val="32"/>
          <w:szCs w:val="32"/>
        </w:rPr>
        <w:t>推广广州在营商环境改革中的好经验好做法</w:t>
      </w:r>
      <w:r>
        <w:rPr>
          <w:rFonts w:hint="eastAsia" w:ascii="仿宋" w:hAnsi="仿宋" w:eastAsia="仿宋"/>
          <w:sz w:val="32"/>
          <w:szCs w:val="32"/>
        </w:rPr>
        <w:t>，加快制定统一的营商环境指标体系和评价标准。</w:t>
      </w:r>
      <w:r>
        <w:rPr>
          <w:rFonts w:ascii="仿宋" w:hAnsi="仿宋" w:eastAsia="仿宋"/>
          <w:sz w:val="32"/>
          <w:szCs w:val="32"/>
        </w:rPr>
        <w:t>以广清经济特别合作区为试点，在产业共建中共同探索通过清</w:t>
      </w:r>
      <w:r>
        <w:rPr>
          <w:rFonts w:hint="eastAsia" w:ascii="仿宋" w:hAnsi="仿宋" w:eastAsia="仿宋"/>
          <w:sz w:val="32"/>
          <w:szCs w:val="32"/>
        </w:rPr>
        <w:t>城</w:t>
      </w:r>
      <w:r>
        <w:rPr>
          <w:rFonts w:ascii="仿宋" w:hAnsi="仿宋" w:eastAsia="仿宋"/>
          <w:sz w:val="32"/>
          <w:szCs w:val="32"/>
        </w:rPr>
        <w:t>承担一部分资金和用好增量的方式，将广州的部分产业政策覆盖到从广州转移到清</w:t>
      </w:r>
      <w:r>
        <w:rPr>
          <w:rFonts w:hint="eastAsia" w:ascii="仿宋" w:hAnsi="仿宋" w:eastAsia="仿宋"/>
          <w:sz w:val="32"/>
          <w:szCs w:val="32"/>
        </w:rPr>
        <w:t>城</w:t>
      </w:r>
      <w:r>
        <w:rPr>
          <w:rFonts w:ascii="仿宋" w:hAnsi="仿宋" w:eastAsia="仿宋"/>
          <w:sz w:val="32"/>
          <w:szCs w:val="32"/>
        </w:rPr>
        <w:t>的企业。深化</w:t>
      </w:r>
      <w:r>
        <w:rPr>
          <w:rFonts w:hint="eastAsia" w:ascii="仿宋" w:hAnsi="仿宋" w:eastAsia="仿宋"/>
          <w:sz w:val="32"/>
          <w:szCs w:val="32"/>
        </w:rPr>
        <w:t>一体化政务服务环境建设，大力拓展广清两地政务“广清通办”</w:t>
      </w:r>
      <w:r>
        <w:rPr>
          <w:rFonts w:ascii="仿宋" w:hAnsi="仿宋" w:eastAsia="仿宋"/>
          <w:sz w:val="32"/>
          <w:szCs w:val="32"/>
        </w:rPr>
        <w:t>。围绕广清两地的产业对接重点功能平台建设，</w:t>
      </w:r>
      <w:r>
        <w:rPr>
          <w:rFonts w:hint="eastAsia" w:ascii="仿宋" w:hAnsi="仿宋" w:eastAsia="仿宋"/>
          <w:sz w:val="32"/>
          <w:szCs w:val="32"/>
        </w:rPr>
        <w:t>发挥交通基础设施的先导作用，</w:t>
      </w:r>
      <w:r>
        <w:rPr>
          <w:rFonts w:ascii="仿宋" w:hAnsi="仿宋" w:eastAsia="仿宋"/>
          <w:sz w:val="32"/>
          <w:szCs w:val="32"/>
        </w:rPr>
        <w:t>进一步调整优化广清一体化交通体系，</w:t>
      </w:r>
      <w:r>
        <w:rPr>
          <w:rFonts w:hint="eastAsia" w:ascii="仿宋" w:hAnsi="仿宋" w:eastAsia="仿宋"/>
          <w:sz w:val="32"/>
          <w:szCs w:val="32"/>
        </w:rPr>
        <w:t>加强与广州在城市功能、环境、设施等方面的衔接</w:t>
      </w:r>
      <w:r>
        <w:rPr>
          <w:rFonts w:ascii="仿宋" w:hAnsi="仿宋" w:eastAsia="仿宋"/>
          <w:sz w:val="32"/>
          <w:szCs w:val="32"/>
        </w:rPr>
        <w:t>。</w:t>
      </w:r>
    </w:p>
    <w:p>
      <w:pPr>
        <w:widowControl/>
        <w:shd w:val="clear" w:color="auto" w:fill="FFFFFF"/>
        <w:adjustRightInd w:val="0"/>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强化与大湾区产业对接，加快产业“入珠融湾”步伐。</w:t>
      </w:r>
      <w:r>
        <w:rPr>
          <w:rFonts w:hint="eastAsia" w:ascii="仿宋" w:hAnsi="仿宋" w:eastAsia="仿宋"/>
          <w:sz w:val="32"/>
          <w:szCs w:val="32"/>
        </w:rPr>
        <w:t>加强与大湾区各城市的对接联系，积极参与广州都市圈产业协同合作。以珠江西岸先进装备制造产业带为依托，充分利用清城人力资源和空间资源优势，吸引新能源汽车、轨道交通装备、智能制造装备、节能环保装备等先进装备制造业企业落户清城区。以广清空港现代物流产业新城为主体，大力引进现代物流、商贸等优质企业进驻，打造覆盖华南地区的交易配送中心、面向粤港澳大湾区的现代商贸和物流产业集聚区。以建设粤港澳大湾区北部生态文化旅游合作区为契机，整合广清旅游资源，加快建设广清旅游集聚区，助推“入珠融湾”步伐。</w:t>
      </w:r>
    </w:p>
    <w:p>
      <w:pPr>
        <w:pStyle w:val="4"/>
        <w:adjustRightInd w:val="0"/>
        <w:snapToGrid w:val="0"/>
        <w:spacing w:line="360" w:lineRule="auto"/>
        <w:ind w:firstLine="643" w:firstLineChars="200"/>
        <w:rPr>
          <w:rFonts w:ascii="仿宋" w:hAnsi="仿宋" w:eastAsia="仿宋"/>
          <w:shd w:val="clear" w:color="auto" w:fill="FFFFFF"/>
        </w:rPr>
      </w:pPr>
      <w:bookmarkStart w:id="59" w:name="_Toc52368141"/>
      <w:bookmarkStart w:id="60" w:name="_Toc70236889"/>
      <w:r>
        <w:rPr>
          <w:rFonts w:hint="eastAsia" w:ascii="仿宋" w:hAnsi="仿宋" w:eastAsia="仿宋"/>
          <w:shd w:val="clear" w:color="auto" w:fill="FFFFFF"/>
        </w:rPr>
        <w:t>（二）加快广清产业深度协同，</w:t>
      </w:r>
      <w:r>
        <w:fldChar w:fldCharType="begin"/>
      </w:r>
      <w:r>
        <w:instrText xml:space="preserve"> HYPERLINK \l "_Toc50421887" </w:instrText>
      </w:r>
      <w:r>
        <w:fldChar w:fldCharType="separate"/>
      </w:r>
      <w:r>
        <w:rPr>
          <w:rFonts w:hint="eastAsia" w:ascii="仿宋" w:hAnsi="仿宋" w:eastAsia="仿宋"/>
          <w:shd w:val="clear" w:color="auto" w:fill="FFFFFF"/>
        </w:rPr>
        <w:t>构建区域协同发展的优势产业集群</w:t>
      </w:r>
      <w:bookmarkEnd w:id="59"/>
      <w:r>
        <w:rPr>
          <w:rFonts w:hint="eastAsia" w:ascii="仿宋" w:hAnsi="仿宋" w:eastAsia="仿宋"/>
          <w:shd w:val="clear" w:color="auto" w:fill="FFFFFF"/>
        </w:rPr>
        <w:fldChar w:fldCharType="end"/>
      </w:r>
      <w:r>
        <w:rPr>
          <w:rFonts w:hint="eastAsia" w:ascii="仿宋" w:hAnsi="仿宋" w:eastAsia="仿宋"/>
          <w:shd w:val="clear" w:color="auto" w:fill="FFFFFF"/>
        </w:rPr>
        <w:t>。</w:t>
      </w:r>
      <w:bookmarkEnd w:id="60"/>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以产业协同、空间优化和协作体系共建为基本着力点，依托广清两市的资源禀赋和产业比较优势，以产业转型升级为主线，</w:t>
      </w:r>
      <w:bookmarkStart w:id="61" w:name="_Hlk69986999"/>
      <w:r>
        <w:rPr>
          <w:rFonts w:hint="eastAsia" w:ascii="仿宋" w:hAnsi="仿宋" w:eastAsia="仿宋"/>
          <w:sz w:val="32"/>
          <w:szCs w:val="32"/>
        </w:rPr>
        <w:t>以产业合作园区为载体，</w:t>
      </w:r>
      <w:bookmarkEnd w:id="61"/>
      <w:r>
        <w:rPr>
          <w:rFonts w:hint="eastAsia" w:ascii="仿宋" w:hAnsi="仿宋" w:eastAsia="仿宋"/>
          <w:sz w:val="32"/>
          <w:szCs w:val="32"/>
        </w:rPr>
        <w:t>重点打造高端制造业、现代商贸物流以及生态旅游等优势产业集群，推动广清优势产业协同发展。</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协同培育高端制造业。</w:t>
      </w:r>
      <w:r>
        <w:rPr>
          <w:rFonts w:hint="eastAsia" w:ascii="仿宋" w:hAnsi="仿宋" w:eastAsia="仿宋"/>
          <w:sz w:val="32"/>
          <w:szCs w:val="32"/>
        </w:rPr>
        <w:t>以石角工业园及石角循环经济工业园等园区为依托，紧抓广清一体化和粤港澳大湾区建设发展契机，积极承接珠三角产业转移。围绕高端铝型材、稀散金属、改性塑料等领域，积极引进国内外先进设备，建设新材料生产线，打造集“科研产销”于一体新材料产业园区。以提升地区装备制造产业配套及技术转化能力为导向，依托广州在航空、船舶、轨道交通等装备类总部集聚优势，积极承接广州装备产业分拨和先进技术的应用转化，着力发展内河船舶工程装备、航空装备、机械装备、智能制造装备及重要基础件，打造先进装备制造基地。</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协同发展数字产业。</w:t>
      </w:r>
      <w:r>
        <w:rPr>
          <w:rFonts w:hint="eastAsia" w:ascii="仿宋" w:hAnsi="仿宋" w:eastAsia="仿宋"/>
          <w:sz w:val="32"/>
          <w:szCs w:val="32"/>
        </w:rPr>
        <w:t>鼓励“研发+产业化”、“前端+后台”等合作模式，广州围绕打造世界显示之都、国际软件名城的目标，重点发展集成电路研发设计及芯片生产、</w:t>
      </w:r>
      <w:r>
        <w:rPr>
          <w:rFonts w:ascii="仿宋" w:hAnsi="仿宋" w:eastAsia="仿宋"/>
          <w:sz w:val="32"/>
          <w:szCs w:val="32"/>
        </w:rPr>
        <w:t>新型显示</w:t>
      </w:r>
      <w:r>
        <w:rPr>
          <w:rFonts w:hint="eastAsia" w:ascii="仿宋" w:hAnsi="仿宋" w:eastAsia="仿宋"/>
          <w:sz w:val="32"/>
          <w:szCs w:val="32"/>
        </w:rPr>
        <w:t>核心材料-面板-智能终端研发制造、</w:t>
      </w:r>
      <w:r>
        <w:rPr>
          <w:rFonts w:ascii="仿宋" w:hAnsi="仿宋" w:eastAsia="仿宋"/>
          <w:sz w:val="32"/>
          <w:szCs w:val="32"/>
        </w:rPr>
        <w:t>大数据云计算</w:t>
      </w:r>
      <w:r>
        <w:rPr>
          <w:rFonts w:hint="eastAsia" w:ascii="仿宋" w:hAnsi="仿宋" w:eastAsia="仿宋"/>
          <w:sz w:val="32"/>
          <w:szCs w:val="32"/>
        </w:rPr>
        <w:t>服务环节，清城重点支持新型显示、集成电路等领域的核心电子材料、生产设备、电子元器件技术转化，吸引具备技术产业化转化及产能扩张需求的高成长性企业在清城建立规模化生产基地。建设大数据后台服务中心，吸引广州互联网、云计算及大数据总部企业，在清城设置云计算基地、大数据存储及备灾服务后台，积极推动工业互联网、5</w:t>
      </w:r>
      <w:r>
        <w:rPr>
          <w:rFonts w:ascii="仿宋" w:hAnsi="仿宋" w:eastAsia="仿宋"/>
          <w:sz w:val="32"/>
          <w:szCs w:val="32"/>
        </w:rPr>
        <w:t>G</w:t>
      </w:r>
      <w:r>
        <w:rPr>
          <w:rFonts w:hint="eastAsia" w:ascii="仿宋" w:hAnsi="仿宋" w:eastAsia="仿宋"/>
          <w:sz w:val="32"/>
          <w:szCs w:val="32"/>
        </w:rPr>
        <w:t>应用等领域应用示范。</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协同推动现代商贸物流业。</w:t>
      </w:r>
      <w:r>
        <w:rPr>
          <w:rFonts w:hint="eastAsia" w:ascii="仿宋" w:hAnsi="仿宋" w:eastAsia="仿宋"/>
          <w:sz w:val="32"/>
          <w:szCs w:val="32"/>
        </w:rPr>
        <w:t>以广清空港现代物流产业新城为主体，大力引进现代物流、商贸等优质企业进驻，打造覆盖华南地区的交易配送中心、面向粤港澳大湾区的现代商贸和物流产业集聚区。以共建广清空港现代物流产业新城为契机，以物联网中心、采购交易中心、冷链加工中心、保税中心等项目建设为抓手，大力发展临空物流，城市配送、冷链物流等产业以及现代商贸、康体养生等配套服务，积极承接广州仓储物流产业外溢，着力打造粤北现代化商贸物流基地。</w:t>
      </w:r>
    </w:p>
    <w:p>
      <w:pPr>
        <w:autoSpaceDE w:val="0"/>
        <w:spacing w:line="600" w:lineRule="exact"/>
        <w:ind w:firstLine="643" w:firstLineChars="200"/>
        <w:rPr>
          <w:rFonts w:ascii="仿宋" w:hAnsi="仿宋" w:eastAsia="仿宋" w:cs="Times New Roman"/>
          <w:sz w:val="32"/>
          <w:szCs w:val="32"/>
        </w:rPr>
      </w:pPr>
      <w:r>
        <w:rPr>
          <w:rFonts w:hint="eastAsia" w:ascii="仿宋" w:hAnsi="仿宋" w:eastAsia="仿宋"/>
          <w:b/>
          <w:sz w:val="32"/>
          <w:szCs w:val="32"/>
        </w:rPr>
        <w:t>协同发展生态旅游业。</w:t>
      </w:r>
      <w:r>
        <w:rPr>
          <w:rFonts w:hint="eastAsia" w:ascii="仿宋" w:hAnsi="仿宋" w:eastAsia="仿宋"/>
          <w:sz w:val="32"/>
          <w:szCs w:val="32"/>
        </w:rPr>
        <w:t>以建设粤港澳大湾区北部生态文化旅游合作区为着力点，整合广清旅游资源，加快建设广清旅游集聚区，打造粤港澳大湾区世界级休闲旅游目的地、文商旅产业融合发展创新试验区、区域旅游合作发展样板。以粤港澳大湾区北部生态文化旅游合作区先行启动区框架协议的签署为契机，立足合作区独特的产业优势和资源特色，强化旅游市场营销、特色旅游产品、文旅产业项目、文旅公共服务、对外文旅交流等五方面的合作，积极推进广清旅游大道和旅游步道建设，共同打造出一批先行启动区精品线路和旅游品牌。</w:t>
      </w:r>
      <w:r>
        <w:rPr>
          <w:rFonts w:hint="eastAsia" w:ascii="仿宋" w:hAnsi="仿宋" w:eastAsia="仿宋" w:cs="Times New Roman"/>
          <w:sz w:val="32"/>
          <w:szCs w:val="32"/>
        </w:rPr>
        <w:t>充分发挥广州融创文旅城和清远长隆国际森林度假区两大龙头项目的辐射带动作用，重点发展休闲旅游度假、健康疗养、商贸购物、文化创意、体育休闲等旅游业态，满足港澳居民及国内外游客旅游休闲和健康养生的需求。</w:t>
      </w:r>
    </w:p>
    <w:p>
      <w:pPr>
        <w:widowControl/>
        <w:shd w:val="clear" w:color="auto" w:fill="FFFFFF"/>
        <w:adjustRightInd w:val="0"/>
        <w:snapToGrid w:val="0"/>
        <w:spacing w:line="360" w:lineRule="auto"/>
        <w:ind w:firstLine="640" w:firstLineChars="200"/>
        <w:rPr>
          <w:rFonts w:ascii="仿宋" w:hAnsi="仿宋" w:eastAsia="仿宋"/>
          <w:sz w:val="32"/>
          <w:szCs w:val="32"/>
        </w:rPr>
      </w:pPr>
    </w:p>
    <w:p>
      <w:pPr>
        <w:widowControl/>
        <w:shd w:val="clear" w:color="auto" w:fill="FFFFFF"/>
        <w:adjustRightInd w:val="0"/>
        <w:snapToGrid w:val="0"/>
        <w:spacing w:line="360" w:lineRule="auto"/>
        <w:ind w:firstLine="643" w:firstLineChars="200"/>
        <w:rPr>
          <w:rFonts w:ascii="仿宋" w:hAnsi="仿宋" w:eastAsia="仿宋"/>
          <w:bCs/>
          <w:sz w:val="32"/>
          <w:szCs w:val="32"/>
        </w:rPr>
      </w:pPr>
      <w:r>
        <w:rPr>
          <w:rFonts w:hint="eastAsia" w:ascii="仿宋" w:hAnsi="仿宋" w:eastAsia="仿宋"/>
          <w:b/>
          <w:sz w:val="32"/>
          <w:szCs w:val="32"/>
        </w:rPr>
        <w:t>协同发展都市农业。</w:t>
      </w:r>
      <w:r>
        <w:rPr>
          <w:rFonts w:hint="eastAsia" w:ascii="仿宋" w:hAnsi="仿宋" w:eastAsia="仿宋"/>
          <w:bCs/>
          <w:sz w:val="32"/>
          <w:szCs w:val="32"/>
        </w:rPr>
        <w:t>构建新型的“前店后场”合作模式，联合打造一批集科研、深加工、物流、科教休闲功能于一体的现代农业示范基地，培育“清城农家”等一批知名农产品品牌。清城充分发挥生态资源、成本等优势，继续创建省级农业产业园，确保各县区全覆盖，吸引广州农副产品总部企业在清城设立直供大湾区的农鲜产品种植生产、深加工基地及物流基地。围绕广清空港现代物流产业新城的建设，重点引导发展航空食品配套、生鲜食品冷链物流及加工等产业，发展“中央厨房”等新业态。</w:t>
      </w:r>
    </w:p>
    <w:p>
      <w:pPr>
        <w:pStyle w:val="4"/>
        <w:adjustRightInd w:val="0"/>
        <w:snapToGrid w:val="0"/>
        <w:spacing w:line="360" w:lineRule="auto"/>
        <w:ind w:firstLine="643" w:firstLineChars="200"/>
        <w:rPr>
          <w:rFonts w:ascii="仿宋" w:hAnsi="仿宋" w:eastAsia="仿宋"/>
          <w:shd w:val="clear" w:color="auto" w:fill="FFFFFF"/>
        </w:rPr>
      </w:pPr>
      <w:bookmarkStart w:id="62" w:name="_Toc52368142"/>
      <w:bookmarkStart w:id="63" w:name="_Toc70236890"/>
      <w:r>
        <w:rPr>
          <w:rFonts w:hint="eastAsia" w:ascii="仿宋" w:hAnsi="仿宋" w:eastAsia="仿宋"/>
          <w:shd w:val="clear" w:color="auto" w:fill="FFFFFF"/>
        </w:rPr>
        <w:t>（三）</w:t>
      </w:r>
      <w:r>
        <w:fldChar w:fldCharType="begin"/>
      </w:r>
      <w:r>
        <w:instrText xml:space="preserve"> HYPERLINK \l "_Toc50421888" </w:instrText>
      </w:r>
      <w:r>
        <w:fldChar w:fldCharType="separate"/>
      </w:r>
      <w:r>
        <w:rPr>
          <w:rFonts w:hint="eastAsia" w:ascii="仿宋" w:hAnsi="仿宋" w:eastAsia="仿宋"/>
          <w:shd w:val="clear" w:color="auto" w:fill="FFFFFF"/>
        </w:rPr>
        <w:t>共建高质量的产业发展平台</w:t>
      </w:r>
      <w:r>
        <w:rPr>
          <w:rFonts w:hint="eastAsia" w:ascii="仿宋" w:hAnsi="仿宋" w:eastAsia="仿宋"/>
          <w:shd w:val="clear" w:color="auto" w:fill="FFFFFF"/>
        </w:rPr>
        <w:fldChar w:fldCharType="end"/>
      </w:r>
      <w:r>
        <w:rPr>
          <w:rFonts w:hint="eastAsia" w:ascii="仿宋" w:hAnsi="仿宋" w:eastAsia="仿宋"/>
          <w:shd w:val="clear" w:color="auto" w:fill="FFFFFF"/>
        </w:rPr>
        <w:t>和合作载体</w:t>
      </w:r>
      <w:bookmarkEnd w:id="62"/>
      <w:r>
        <w:rPr>
          <w:rFonts w:hint="eastAsia" w:ascii="仿宋" w:hAnsi="仿宋" w:eastAsia="仿宋"/>
          <w:shd w:val="clear" w:color="auto" w:fill="FFFFFF"/>
        </w:rPr>
        <w:t>。</w:t>
      </w:r>
      <w:bookmarkEnd w:id="63"/>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依托清城区独特的区位条件、资源禀赋、发展基础和潜力，充分发挥比较优势，以清远南部区域为核心，以广清经济特别合作区、粤港澳大湾区北部生态文化旅游合作区等主要载体，加快推动产业协同发展。</w:t>
      </w:r>
    </w:p>
    <w:p>
      <w:pPr>
        <w:spacing w:line="360" w:lineRule="auto"/>
        <w:ind w:firstLine="640"/>
        <w:rPr>
          <w:rFonts w:ascii="仿宋" w:hAnsi="仿宋" w:eastAsia="仿宋"/>
          <w:sz w:val="32"/>
          <w:szCs w:val="32"/>
        </w:rPr>
      </w:pPr>
      <w:r>
        <w:rPr>
          <w:rFonts w:hint="eastAsia" w:ascii="仿宋" w:hAnsi="仿宋" w:eastAsia="仿宋"/>
          <w:b/>
          <w:sz w:val="32"/>
          <w:szCs w:val="32"/>
        </w:rPr>
        <w:t>高质量打造广清经济特别合作区。</w:t>
      </w:r>
      <w:r>
        <w:rPr>
          <w:rFonts w:hint="eastAsia" w:ascii="仿宋" w:hAnsi="仿宋" w:eastAsia="仿宋"/>
          <w:sz w:val="32"/>
          <w:szCs w:val="32"/>
        </w:rPr>
        <w:t>立足广州都市圈及广清一体化发展目标，强化广清经济特别合作区先行先试的示范引领作用。以广清产业园依托，发挥广清产业园制造业总部的集聚优势，对接广州开发区、越秀区技术转移、科技研发平台资源以及制造总部扩张需求，重点发展精细化工及新材料、泛智能家居、医药制造、汽车零部件制造、专业服务业，打造华南制造总部创新引领区。以广清空港现代物流产业新城为抓手，重点发展现代物流、先进制造、商贸商务、智能装备、都市农业和专业服务等六大产业，打造国家级南部新型物流枢纽中心、粤港澳大湾区现代化供应链枢纽、城市生产生活分拨中心、自由贸易区和产城融合发展示范区。</w:t>
      </w:r>
    </w:p>
    <w:p>
      <w:pPr>
        <w:spacing w:line="360" w:lineRule="auto"/>
        <w:ind w:firstLine="643"/>
        <w:rPr>
          <w:rFonts w:ascii="仿宋" w:hAnsi="仿宋" w:eastAsia="仿宋"/>
          <w:sz w:val="32"/>
          <w:szCs w:val="32"/>
        </w:rPr>
      </w:pPr>
      <w:r>
        <w:rPr>
          <w:rFonts w:hint="eastAsia" w:ascii="仿宋" w:hAnsi="仿宋" w:eastAsia="仿宋"/>
          <w:b/>
          <w:sz w:val="32"/>
          <w:szCs w:val="32"/>
        </w:rPr>
        <w:t>着力推进粤港澳大湾区北部生态文化旅游合作区建设。</w:t>
      </w:r>
      <w:r>
        <w:rPr>
          <w:rFonts w:hint="eastAsia" w:ascii="仿宋" w:hAnsi="仿宋" w:eastAsia="仿宋"/>
          <w:sz w:val="32"/>
          <w:szCs w:val="32"/>
        </w:rPr>
        <w:t>以建设粤港澳大湾区北部生态文化旅游合作区为着力点，发挥清城区位交通和资源优势，联动花都区、从化区、增城区等广州北部区域，联动清新区，依托旅游资源，发展都市生态旅游，重点发展生态旅游、休闲旅游和文化旅游，打造粤港澳大湾区旅游目的地、区域旅游协调发展创新试验区、全域旅游发展样板。</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bCs/>
          <w:sz w:val="32"/>
          <w:szCs w:val="32"/>
        </w:rPr>
        <w:t>加快粤港澳大湾区“菜篮子”产业平台建设。</w:t>
      </w:r>
      <w:r>
        <w:rPr>
          <w:rFonts w:ascii="仿宋" w:hAnsi="仿宋" w:eastAsia="仿宋"/>
          <w:sz w:val="32"/>
          <w:szCs w:val="32"/>
        </w:rPr>
        <w:t>以供港澳农产品的质量安全标准，建立完善粤港澳大湾区“菜篮子”产品直供粤港澳大湾区主要城市市场供应体系，</w:t>
      </w:r>
      <w:r>
        <w:rPr>
          <w:rFonts w:hint="eastAsia" w:ascii="仿宋" w:hAnsi="仿宋" w:eastAsia="仿宋"/>
          <w:sz w:val="32"/>
          <w:szCs w:val="32"/>
        </w:rPr>
        <w:t>重点对接越秀区、荔湾区、天河区、海珠区等广州中心城区乃至大湾区，大力发展都市农业，对接广州空港经济圈，支持以“中央厨房”模式发展大宗农贸产品，建设粤港澳大湾区“菜篮子”产品清远配送分中心，加强生产基地和广州口岸海关通关一体化协作，为大湾区“菜篮子”产品出口量身定制通关放行模式和检验检疫监管模式。</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5000"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firstLine="1124" w:firstLineChars="400"/>
              <w:rPr>
                <w:rFonts w:ascii="Calibri" w:hAnsi="Calibri" w:eastAsia="仿宋_GB2312" w:cs="Times New Roman"/>
                <w:b/>
                <w:bCs/>
                <w:color w:val="000000"/>
                <w:kern w:val="0"/>
                <w:sz w:val="28"/>
                <w:szCs w:val="28"/>
              </w:rPr>
            </w:pPr>
            <w:r>
              <w:rPr>
                <w:rFonts w:ascii="Calibri" w:hAnsi="Calibri" w:eastAsia="仿宋_GB2312" w:cs="Times New Roman"/>
                <w:b/>
                <w:bCs/>
                <w:color w:val="000000"/>
                <w:kern w:val="0"/>
                <w:sz w:val="28"/>
                <w:szCs w:val="28"/>
              </w:rPr>
              <w:t xml:space="preserve">专栏   </w:t>
            </w:r>
            <w:r>
              <w:rPr>
                <w:rFonts w:hint="eastAsia" w:ascii="Calibri" w:hAnsi="Calibri" w:eastAsia="仿宋_GB2312" w:cs="Times New Roman"/>
                <w:b/>
                <w:bCs/>
                <w:color w:val="000000"/>
                <w:kern w:val="0"/>
                <w:sz w:val="28"/>
                <w:szCs w:val="28"/>
              </w:rPr>
              <w:t>清城区产业合作平台——广清产业园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7" w:hRule="atLeast"/>
          <w:jc w:val="center"/>
        </w:trPr>
        <w:tc>
          <w:tcPr>
            <w:tcW w:w="5000" w:type="pct"/>
            <w:tcBorders>
              <w:top w:val="single" w:color="auto" w:sz="4" w:space="0"/>
              <w:left w:val="single" w:color="auto" w:sz="4" w:space="0"/>
              <w:right w:val="single" w:color="auto" w:sz="4" w:space="0"/>
            </w:tcBorders>
            <w:vAlign w:val="center"/>
          </w:tcPr>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规划面积：</w:t>
            </w:r>
            <w:r>
              <w:rPr>
                <w:rFonts w:hint="eastAsia" w:ascii="仿宋" w:hAnsi="仿宋" w:eastAsia="仿宋" w:cs="Times New Roman"/>
                <w:bCs/>
                <w:color w:val="000000"/>
                <w:szCs w:val="21"/>
              </w:rPr>
              <w:t>39.39平方公里</w:t>
            </w:r>
          </w:p>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功能定位：</w:t>
            </w:r>
            <w:r>
              <w:rPr>
                <w:rFonts w:hint="eastAsia" w:ascii="仿宋" w:hAnsi="仿宋" w:eastAsia="仿宋" w:cs="Times New Roman"/>
                <w:bCs/>
                <w:color w:val="000000"/>
                <w:szCs w:val="21"/>
              </w:rPr>
              <w:t>华南制造总部创新引领区</w:t>
            </w:r>
          </w:p>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重要载体：</w:t>
            </w:r>
            <w:r>
              <w:rPr>
                <w:rFonts w:hint="eastAsia" w:ascii="仿宋" w:hAnsi="仿宋" w:eastAsia="仿宋" w:cs="Times New Roman"/>
                <w:bCs/>
                <w:color w:val="000000"/>
                <w:szCs w:val="21"/>
              </w:rPr>
              <w:t>石角园区</w:t>
            </w:r>
          </w:p>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“十四五”发展指引：</w:t>
            </w:r>
            <w:r>
              <w:rPr>
                <w:rFonts w:hint="eastAsia" w:ascii="仿宋" w:hAnsi="仿宋" w:eastAsia="仿宋" w:cs="Times New Roman"/>
                <w:bCs/>
                <w:color w:val="000000"/>
                <w:szCs w:val="21"/>
              </w:rPr>
              <w:t>围绕金发科技、立邦涂料等龙头企业配套需求，引进以循环经济为主题、绿色科技为特色的中小微企业入驻，打造清远华清循环经济绿色科技创业园；发挥欧派</w:t>
            </w:r>
            <w:r>
              <w:rPr>
                <w:rFonts w:ascii="仿宋" w:hAnsi="仿宋" w:eastAsia="仿宋" w:cs="Times New Roman"/>
                <w:bCs/>
                <w:color w:val="000000"/>
                <w:szCs w:val="21"/>
              </w:rPr>
              <w:t>家居</w:t>
            </w:r>
            <w:r>
              <w:rPr>
                <w:rFonts w:hint="eastAsia" w:ascii="仿宋" w:hAnsi="仿宋" w:eastAsia="仿宋" w:cs="Times New Roman"/>
                <w:bCs/>
                <w:color w:val="000000"/>
                <w:szCs w:val="21"/>
              </w:rPr>
              <w:t>等</w:t>
            </w:r>
            <w:r>
              <w:rPr>
                <w:rFonts w:ascii="仿宋" w:hAnsi="仿宋" w:eastAsia="仿宋" w:cs="Times New Roman"/>
                <w:bCs/>
                <w:color w:val="000000"/>
                <w:szCs w:val="21"/>
              </w:rPr>
              <w:t>龙头企业</w:t>
            </w:r>
            <w:r>
              <w:rPr>
                <w:rFonts w:hint="eastAsia" w:ascii="仿宋" w:hAnsi="仿宋" w:eastAsia="仿宋" w:cs="Times New Roman"/>
                <w:bCs/>
                <w:color w:val="000000"/>
                <w:szCs w:val="21"/>
              </w:rPr>
              <w:t>带动效应</w:t>
            </w:r>
            <w:r>
              <w:rPr>
                <w:rFonts w:ascii="仿宋" w:hAnsi="仿宋" w:eastAsia="仿宋" w:cs="Times New Roman"/>
                <w:bCs/>
                <w:color w:val="000000"/>
                <w:szCs w:val="21"/>
              </w:rPr>
              <w:t>，</w:t>
            </w:r>
            <w:r>
              <w:rPr>
                <w:rFonts w:hint="eastAsia" w:ascii="仿宋" w:hAnsi="仿宋" w:eastAsia="仿宋" w:cs="Times New Roman"/>
                <w:bCs/>
                <w:color w:val="000000"/>
                <w:szCs w:val="21"/>
              </w:rPr>
              <w:t>吸引</w:t>
            </w:r>
            <w:r>
              <w:rPr>
                <w:rFonts w:ascii="仿宋" w:hAnsi="仿宋" w:eastAsia="仿宋" w:cs="Times New Roman"/>
                <w:bCs/>
                <w:color w:val="000000"/>
                <w:szCs w:val="21"/>
              </w:rPr>
              <w:t>有行业带动性</w:t>
            </w:r>
            <w:r>
              <w:rPr>
                <w:rFonts w:hint="eastAsia" w:ascii="仿宋" w:hAnsi="仿宋" w:eastAsia="仿宋" w:cs="Times New Roman"/>
                <w:bCs/>
                <w:color w:val="000000"/>
                <w:szCs w:val="21"/>
              </w:rPr>
              <w:t>的</w:t>
            </w:r>
            <w:r>
              <w:rPr>
                <w:rFonts w:ascii="仿宋" w:hAnsi="仿宋" w:eastAsia="仿宋" w:cs="Times New Roman"/>
                <w:bCs/>
                <w:color w:val="000000"/>
                <w:szCs w:val="21"/>
              </w:rPr>
              <w:t>定制家居</w:t>
            </w:r>
            <w:r>
              <w:rPr>
                <w:rFonts w:hint="eastAsia" w:ascii="仿宋" w:hAnsi="仿宋" w:eastAsia="仿宋" w:cs="Times New Roman"/>
                <w:bCs/>
                <w:color w:val="000000"/>
                <w:szCs w:val="21"/>
              </w:rPr>
              <w:t>、</w:t>
            </w:r>
            <w:r>
              <w:rPr>
                <w:rFonts w:ascii="仿宋" w:hAnsi="仿宋" w:eastAsia="仿宋" w:cs="Times New Roman"/>
                <w:bCs/>
                <w:color w:val="000000"/>
                <w:szCs w:val="21"/>
              </w:rPr>
              <w:t>智能音响、</w:t>
            </w:r>
            <w:r>
              <w:rPr>
                <w:rFonts w:hint="eastAsia" w:ascii="仿宋" w:hAnsi="仿宋" w:eastAsia="仿宋" w:cs="Times New Roman"/>
                <w:bCs/>
                <w:color w:val="000000"/>
                <w:szCs w:val="21"/>
              </w:rPr>
              <w:t>智能</w:t>
            </w:r>
            <w:r>
              <w:rPr>
                <w:rFonts w:ascii="仿宋" w:hAnsi="仿宋" w:eastAsia="仿宋" w:cs="Times New Roman"/>
                <w:bCs/>
                <w:color w:val="000000"/>
                <w:szCs w:val="21"/>
              </w:rPr>
              <w:t>家电</w:t>
            </w:r>
            <w:r>
              <w:rPr>
                <w:rFonts w:hint="eastAsia" w:ascii="仿宋" w:hAnsi="仿宋" w:eastAsia="仿宋" w:cs="Times New Roman"/>
                <w:bCs/>
                <w:color w:val="000000"/>
                <w:szCs w:val="21"/>
              </w:rPr>
              <w:t>行业的</w:t>
            </w:r>
            <w:r>
              <w:rPr>
                <w:rFonts w:ascii="仿宋" w:hAnsi="仿宋" w:eastAsia="仿宋" w:cs="Times New Roman"/>
                <w:bCs/>
                <w:color w:val="000000"/>
                <w:szCs w:val="21"/>
              </w:rPr>
              <w:t>龙头企业，</w:t>
            </w:r>
            <w:r>
              <w:rPr>
                <w:rFonts w:hint="eastAsia" w:ascii="仿宋" w:hAnsi="仿宋" w:eastAsia="仿宋" w:cs="Times New Roman"/>
                <w:bCs/>
                <w:color w:val="000000"/>
                <w:szCs w:val="21"/>
              </w:rPr>
              <w:t>大力发展定制化设计、供应链平台服务、智能技术研发，</w:t>
            </w:r>
            <w:r>
              <w:rPr>
                <w:rFonts w:ascii="仿宋" w:hAnsi="仿宋" w:eastAsia="仿宋" w:cs="Times New Roman"/>
                <w:bCs/>
                <w:color w:val="000000"/>
                <w:szCs w:val="21"/>
              </w:rPr>
              <w:t>培育</w:t>
            </w:r>
            <w:r>
              <w:rPr>
                <w:rFonts w:hint="eastAsia" w:ascii="仿宋" w:hAnsi="仿宋" w:eastAsia="仿宋" w:cs="Times New Roman"/>
                <w:bCs/>
                <w:color w:val="000000"/>
                <w:szCs w:val="21"/>
              </w:rPr>
              <w:t>发展“定制+”泛家居产业基地；引进专业音响、灯光、乐器生产等演艺装备集群以及车载音响、家居音响等音响设备集群，打造灯光音响产业基地；探索“广州研发</w:t>
            </w:r>
            <w:r>
              <w:rPr>
                <w:rFonts w:ascii="仿宋" w:hAnsi="仿宋" w:eastAsia="仿宋" w:cs="Times New Roman"/>
                <w:bCs/>
                <w:color w:val="000000"/>
                <w:szCs w:val="21"/>
              </w:rPr>
              <w:t>+清远</w:t>
            </w:r>
            <w:r>
              <w:rPr>
                <w:rFonts w:hint="eastAsia" w:ascii="仿宋" w:hAnsi="仿宋" w:eastAsia="仿宋" w:cs="Times New Roman"/>
                <w:bCs/>
                <w:color w:val="000000"/>
                <w:szCs w:val="21"/>
              </w:rPr>
              <w:t>制造”合作</w:t>
            </w:r>
            <w:r>
              <w:rPr>
                <w:rFonts w:ascii="仿宋" w:hAnsi="仿宋" w:eastAsia="仿宋" w:cs="Times New Roman"/>
                <w:bCs/>
                <w:color w:val="000000"/>
                <w:szCs w:val="21"/>
              </w:rPr>
              <w:t>模式，</w:t>
            </w:r>
            <w:r>
              <w:rPr>
                <w:rFonts w:hint="eastAsia" w:ascii="仿宋" w:hAnsi="仿宋" w:eastAsia="仿宋" w:cs="Times New Roman"/>
                <w:bCs/>
                <w:color w:val="000000"/>
                <w:szCs w:val="21"/>
              </w:rPr>
              <w:t>建设一批GMP制药工厂，重点承接广州医药中试及大规模生产环节，聚焦中医药</w:t>
            </w:r>
            <w:r>
              <w:rPr>
                <w:rFonts w:ascii="仿宋" w:hAnsi="仿宋" w:eastAsia="仿宋" w:cs="Times New Roman"/>
                <w:bCs/>
                <w:color w:val="000000"/>
                <w:szCs w:val="21"/>
              </w:rPr>
              <w:t>萃取</w:t>
            </w:r>
            <w:r>
              <w:rPr>
                <w:rFonts w:hint="eastAsia" w:ascii="仿宋" w:hAnsi="仿宋" w:eastAsia="仿宋" w:cs="Times New Roman"/>
                <w:bCs/>
                <w:color w:val="000000"/>
                <w:szCs w:val="21"/>
              </w:rPr>
              <w:t>、化学仿制药、现代中药、化学药等领域</w:t>
            </w:r>
            <w:r>
              <w:rPr>
                <w:rFonts w:ascii="仿宋" w:hAnsi="仿宋" w:eastAsia="仿宋" w:cs="Times New Roman"/>
                <w:bCs/>
                <w:color w:val="000000"/>
                <w:szCs w:val="21"/>
              </w:rPr>
              <w:t>，</w:t>
            </w:r>
            <w:r>
              <w:rPr>
                <w:rFonts w:hint="eastAsia" w:ascii="仿宋" w:hAnsi="仿宋" w:eastAsia="仿宋" w:cs="Times New Roman"/>
                <w:bCs/>
                <w:color w:val="000000"/>
                <w:szCs w:val="21"/>
              </w:rPr>
              <w:t>建设生态型专业医药循环经济园，</w:t>
            </w:r>
            <w:r>
              <w:rPr>
                <w:rFonts w:ascii="仿宋" w:hAnsi="仿宋" w:eastAsia="仿宋" w:cs="Times New Roman"/>
                <w:bCs/>
                <w:color w:val="000000"/>
                <w:szCs w:val="21"/>
              </w:rPr>
              <w:t>打造</w:t>
            </w:r>
            <w:r>
              <w:rPr>
                <w:rFonts w:hint="eastAsia" w:ascii="仿宋" w:hAnsi="仿宋" w:eastAsia="仿宋" w:cs="Times New Roman"/>
                <w:bCs/>
                <w:color w:val="000000"/>
                <w:szCs w:val="21"/>
              </w:rPr>
              <w:t>医药中试及产业化生产基地；积极推动“广州总装+清远配套、广州整车+清远零配件”模式，以富强汽车等企业为抓手，对接番禺广州智能网联汽车电子产业综合基地等智能</w:t>
            </w:r>
            <w:r>
              <w:rPr>
                <w:rFonts w:ascii="仿宋" w:hAnsi="仿宋" w:eastAsia="仿宋" w:cs="Times New Roman"/>
                <w:bCs/>
                <w:color w:val="000000"/>
                <w:szCs w:val="21"/>
              </w:rPr>
              <w:t>汽车</w:t>
            </w:r>
            <w:r>
              <w:rPr>
                <w:rFonts w:hint="eastAsia" w:ascii="仿宋" w:hAnsi="仿宋" w:eastAsia="仿宋" w:cs="Times New Roman"/>
                <w:bCs/>
                <w:color w:val="000000"/>
                <w:szCs w:val="21"/>
              </w:rPr>
              <w:t>企业，打造广清汽车</w:t>
            </w:r>
            <w:r>
              <w:rPr>
                <w:rFonts w:ascii="仿宋" w:hAnsi="仿宋" w:eastAsia="仿宋" w:cs="Times New Roman"/>
                <w:bCs/>
                <w:color w:val="000000"/>
                <w:szCs w:val="21"/>
              </w:rPr>
              <w:t>零配件产业基地</w:t>
            </w:r>
            <w:r>
              <w:rPr>
                <w:rFonts w:hint="eastAsia" w:ascii="仿宋" w:hAnsi="仿宋" w:eastAsia="仿宋" w:cs="Times New Roman"/>
                <w:bCs/>
                <w:color w:val="000000"/>
                <w:szCs w:val="21"/>
              </w:rPr>
              <w:t>；引导广州的检验检测、人才培训、企业管理、科技金融等配套服务机构进驻，设立国家商标品牌创新创业基地清远分基地，建设广清先进生产力促进中心。</w:t>
            </w:r>
          </w:p>
        </w:tc>
      </w:tr>
    </w:tbl>
    <w:p>
      <w:pPr>
        <w:spacing w:line="360" w:lineRule="auto"/>
        <w:rPr>
          <w:rFonts w:ascii="仿宋" w:hAnsi="仿宋" w:eastAsia="仿宋"/>
          <w:sz w:val="32"/>
          <w:szCs w:val="32"/>
        </w:rPr>
      </w:pP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5000" w:type="pct"/>
            <w:tcBorders>
              <w:top w:val="single" w:color="auto" w:sz="4" w:space="0"/>
              <w:left w:val="single" w:color="auto" w:sz="4" w:space="0"/>
              <w:bottom w:val="single" w:color="auto" w:sz="4" w:space="0"/>
              <w:right w:val="single" w:color="auto" w:sz="4" w:space="0"/>
            </w:tcBorders>
            <w:vAlign w:val="center"/>
          </w:tcPr>
          <w:p>
            <w:pPr>
              <w:ind w:firstLine="281" w:firstLineChars="100"/>
              <w:rPr>
                <w:rFonts w:ascii="Calibri" w:hAnsi="Calibri" w:eastAsia="仿宋_GB2312" w:cs="Times New Roman"/>
                <w:b/>
                <w:bCs/>
                <w:color w:val="000000"/>
                <w:kern w:val="0"/>
                <w:sz w:val="28"/>
                <w:szCs w:val="28"/>
              </w:rPr>
            </w:pPr>
            <w:r>
              <w:rPr>
                <w:rFonts w:ascii="Calibri" w:hAnsi="Calibri" w:eastAsia="仿宋_GB2312" w:cs="Times New Roman"/>
                <w:b/>
                <w:bCs/>
                <w:color w:val="000000"/>
                <w:kern w:val="0"/>
                <w:sz w:val="28"/>
                <w:szCs w:val="28"/>
              </w:rPr>
              <w:t xml:space="preserve">专栏    </w:t>
            </w:r>
            <w:r>
              <w:rPr>
                <w:rFonts w:hint="eastAsia" w:ascii="Calibri" w:hAnsi="Calibri" w:eastAsia="仿宋_GB2312" w:cs="Times New Roman"/>
                <w:b/>
                <w:bCs/>
                <w:color w:val="000000"/>
                <w:kern w:val="0"/>
                <w:sz w:val="28"/>
                <w:szCs w:val="28"/>
              </w:rPr>
              <w:t>清城区产业合作平台——广清空港现代物流产业新城“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jc w:val="center"/>
        </w:trPr>
        <w:tc>
          <w:tcPr>
            <w:tcW w:w="5000" w:type="pct"/>
            <w:tcBorders>
              <w:top w:val="single" w:color="auto" w:sz="4" w:space="0"/>
              <w:left w:val="single" w:color="auto" w:sz="4" w:space="0"/>
              <w:right w:val="single" w:color="auto" w:sz="4" w:space="0"/>
            </w:tcBorders>
            <w:vAlign w:val="center"/>
          </w:tcPr>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规划面积：</w:t>
            </w:r>
            <w:r>
              <w:rPr>
                <w:rFonts w:hint="eastAsia" w:ascii="仿宋" w:hAnsi="仿宋" w:eastAsia="仿宋" w:cs="Times New Roman"/>
                <w:bCs/>
                <w:color w:val="000000"/>
                <w:szCs w:val="21"/>
              </w:rPr>
              <w:t>37平方公里</w:t>
            </w:r>
          </w:p>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功能定位：</w:t>
            </w:r>
            <w:r>
              <w:rPr>
                <w:rFonts w:hint="eastAsia" w:ascii="仿宋" w:hAnsi="仿宋" w:eastAsia="仿宋" w:cs="Times New Roman"/>
                <w:bCs/>
                <w:color w:val="000000"/>
                <w:szCs w:val="21"/>
              </w:rPr>
              <w:t>国家级南部新型物流枢纽中心、粤港澳大湾区现代化供应链枢纽</w:t>
            </w:r>
          </w:p>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重要载体：</w:t>
            </w:r>
            <w:r>
              <w:rPr>
                <w:rFonts w:hint="eastAsia" w:ascii="仿宋" w:hAnsi="仿宋" w:eastAsia="仿宋" w:cs="Times New Roman"/>
                <w:bCs/>
                <w:color w:val="000000"/>
                <w:szCs w:val="21"/>
              </w:rPr>
              <w:t>源潭</w:t>
            </w:r>
            <w:r>
              <w:rPr>
                <w:rFonts w:ascii="仿宋" w:hAnsi="仿宋" w:eastAsia="仿宋" w:cs="Times New Roman"/>
                <w:bCs/>
                <w:color w:val="000000"/>
                <w:szCs w:val="21"/>
              </w:rPr>
              <w:t>物流园</w:t>
            </w:r>
          </w:p>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“十四五”发展</w:t>
            </w:r>
            <w:r>
              <w:rPr>
                <w:rFonts w:ascii="仿宋" w:hAnsi="仿宋" w:eastAsia="仿宋" w:cs="Times New Roman"/>
                <w:b/>
                <w:color w:val="000000"/>
                <w:szCs w:val="21"/>
              </w:rPr>
              <w:t>指引：</w:t>
            </w:r>
            <w:r>
              <w:rPr>
                <w:rFonts w:hint="eastAsia" w:ascii="仿宋" w:hAnsi="仿宋" w:eastAsia="仿宋" w:cs="Times New Roman"/>
                <w:bCs/>
                <w:color w:val="000000"/>
                <w:szCs w:val="21"/>
              </w:rPr>
              <w:t>发挥临空及大湾区北缘门户的区位优势，对接广州开发区、空港经济区、广州北站、南沙港，构建全球一流的公路、铁路、空港多式联运物流体系，重点发展都市农业、现代商贸物流、专业服务业，打造集商贸、加工、会展、电商、配送等业态于一体的国家级南部新型物流枢纽中心、粤港澳大湾区现代化供应链枢纽。引进</w:t>
            </w:r>
            <w:r>
              <w:rPr>
                <w:rFonts w:ascii="仿宋" w:hAnsi="仿宋" w:eastAsia="仿宋" w:cs="Times New Roman"/>
                <w:bCs/>
                <w:color w:val="000000"/>
                <w:szCs w:val="21"/>
              </w:rPr>
              <w:t>广州农业龙头公司设立</w:t>
            </w:r>
            <w:r>
              <w:rPr>
                <w:rFonts w:hint="eastAsia" w:ascii="仿宋" w:hAnsi="仿宋" w:eastAsia="仿宋" w:cs="Times New Roman"/>
                <w:bCs/>
                <w:color w:val="000000"/>
                <w:szCs w:val="21"/>
              </w:rPr>
              <w:t>农产品</w:t>
            </w:r>
            <w:r>
              <w:rPr>
                <w:rFonts w:ascii="仿宋" w:hAnsi="仿宋" w:eastAsia="仿宋" w:cs="Times New Roman"/>
                <w:bCs/>
                <w:color w:val="000000"/>
                <w:szCs w:val="21"/>
              </w:rPr>
              <w:t>加工</w:t>
            </w:r>
            <w:r>
              <w:rPr>
                <w:rFonts w:hint="eastAsia" w:ascii="仿宋" w:hAnsi="仿宋" w:eastAsia="仿宋" w:cs="Times New Roman"/>
                <w:bCs/>
                <w:color w:val="000000"/>
                <w:szCs w:val="21"/>
              </w:rPr>
              <w:t>基地，建设</w:t>
            </w:r>
            <w:r>
              <w:rPr>
                <w:rFonts w:ascii="仿宋" w:hAnsi="仿宋" w:eastAsia="仿宋" w:cs="Times New Roman"/>
                <w:bCs/>
                <w:color w:val="000000"/>
                <w:szCs w:val="21"/>
              </w:rPr>
              <w:t>“</w:t>
            </w:r>
            <w:r>
              <w:rPr>
                <w:rFonts w:hint="eastAsia" w:ascii="仿宋" w:hAnsi="仿宋" w:eastAsia="仿宋" w:cs="Times New Roman"/>
                <w:bCs/>
                <w:color w:val="000000"/>
                <w:szCs w:val="21"/>
              </w:rPr>
              <w:t>中央厨房</w:t>
            </w:r>
            <w:r>
              <w:rPr>
                <w:rFonts w:ascii="仿宋" w:hAnsi="仿宋" w:eastAsia="仿宋" w:cs="Times New Roman"/>
                <w:bCs/>
                <w:color w:val="000000"/>
                <w:szCs w:val="21"/>
              </w:rPr>
              <w:t>”</w:t>
            </w:r>
            <w:r>
              <w:rPr>
                <w:rFonts w:hint="eastAsia" w:ascii="仿宋" w:hAnsi="仿宋" w:eastAsia="仿宋" w:cs="Times New Roman"/>
                <w:bCs/>
                <w:color w:val="000000"/>
                <w:szCs w:val="21"/>
              </w:rPr>
              <w:t>、大型农产品物流分拨中心等服务环节，打造面向大湾区</w:t>
            </w:r>
            <w:r>
              <w:rPr>
                <w:rFonts w:ascii="仿宋" w:hAnsi="仿宋" w:eastAsia="仿宋" w:cs="Times New Roman"/>
                <w:bCs/>
                <w:color w:val="000000"/>
                <w:szCs w:val="21"/>
              </w:rPr>
              <w:t>的</w:t>
            </w:r>
            <w:r>
              <w:rPr>
                <w:rFonts w:hint="eastAsia" w:ascii="仿宋" w:hAnsi="仿宋" w:eastAsia="仿宋" w:cs="Times New Roman"/>
                <w:bCs/>
                <w:color w:val="000000"/>
                <w:szCs w:val="21"/>
              </w:rPr>
              <w:t>农鲜</w:t>
            </w:r>
            <w:r>
              <w:rPr>
                <w:rFonts w:ascii="仿宋" w:hAnsi="仿宋" w:eastAsia="仿宋" w:cs="Times New Roman"/>
                <w:bCs/>
                <w:color w:val="000000"/>
                <w:szCs w:val="21"/>
              </w:rPr>
              <w:t>产品</w:t>
            </w:r>
            <w:r>
              <w:rPr>
                <w:rFonts w:hint="eastAsia" w:ascii="仿宋" w:hAnsi="仿宋" w:eastAsia="仿宋" w:cs="Times New Roman"/>
                <w:bCs/>
                <w:color w:val="000000"/>
                <w:szCs w:val="21"/>
              </w:rPr>
              <w:t>深加工</w:t>
            </w:r>
            <w:r>
              <w:rPr>
                <w:rFonts w:ascii="仿宋" w:hAnsi="仿宋" w:eastAsia="仿宋" w:cs="Times New Roman"/>
                <w:bCs/>
                <w:color w:val="000000"/>
                <w:szCs w:val="21"/>
              </w:rPr>
              <w:t>基地</w:t>
            </w:r>
            <w:r>
              <w:rPr>
                <w:rFonts w:hint="eastAsia" w:ascii="仿宋" w:hAnsi="仿宋" w:eastAsia="仿宋" w:cs="Times New Roman"/>
                <w:bCs/>
                <w:color w:val="000000"/>
                <w:szCs w:val="21"/>
              </w:rPr>
              <w:t>；重点选取大型冷链加工、生鲜农产品临空指向性较强的产业环节，建设大型物流加工及供应链管理基地，配套建设检验检疫等公共服务平台，鼓励构建以工业用品、</w:t>
            </w:r>
            <w:r>
              <w:rPr>
                <w:rFonts w:ascii="仿宋" w:hAnsi="仿宋" w:eastAsia="仿宋" w:cs="Times New Roman"/>
                <w:bCs/>
                <w:color w:val="000000"/>
                <w:szCs w:val="21"/>
              </w:rPr>
              <w:t>农产品</w:t>
            </w:r>
            <w:r>
              <w:rPr>
                <w:rFonts w:hint="eastAsia" w:ascii="仿宋" w:hAnsi="仿宋" w:eastAsia="仿宋" w:cs="Times New Roman"/>
                <w:bCs/>
                <w:color w:val="000000"/>
                <w:szCs w:val="21"/>
              </w:rPr>
              <w:t>为导向的交易指数发布平台，打造特色商贸交易中心；结合</w:t>
            </w:r>
            <w:r>
              <w:rPr>
                <w:rFonts w:ascii="仿宋" w:hAnsi="仿宋" w:eastAsia="仿宋" w:cs="Times New Roman"/>
                <w:bCs/>
                <w:color w:val="000000"/>
                <w:szCs w:val="21"/>
              </w:rPr>
              <w:t>清远汽车产业</w:t>
            </w:r>
            <w:r>
              <w:rPr>
                <w:rFonts w:hint="eastAsia" w:ascii="仿宋" w:hAnsi="仿宋" w:eastAsia="仿宋" w:cs="Times New Roman"/>
                <w:bCs/>
                <w:color w:val="000000"/>
                <w:szCs w:val="21"/>
              </w:rPr>
              <w:t>布局</w:t>
            </w:r>
            <w:r>
              <w:rPr>
                <w:rFonts w:ascii="仿宋" w:hAnsi="仿宋" w:eastAsia="仿宋" w:cs="Times New Roman"/>
                <w:bCs/>
                <w:color w:val="000000"/>
                <w:szCs w:val="21"/>
              </w:rPr>
              <w:t>，</w:t>
            </w:r>
            <w:r>
              <w:rPr>
                <w:rFonts w:hint="eastAsia" w:ascii="仿宋" w:hAnsi="仿宋" w:eastAsia="仿宋" w:cs="Times New Roman"/>
                <w:bCs/>
                <w:color w:val="000000"/>
                <w:szCs w:val="21"/>
              </w:rPr>
              <w:t>打造以汽车零配件展示、交易、物流以及汽车美容等后服务为核心的现代汽配展贸基地。完善轨道交通基础设施建设。加强广清空港现代物流产业新城与白云机场、广州北站等核心综合交通枢纽的交通路网与公共交通体系衔接，加快推进广清城际南端先行加入广州棠溪站、广清城际北延、广州地铁18号线北延线等项目，争取纳入粤港澳大湾区基础设施互联互通等有关规划。打造公铁联运的交通体系，在新城设立货运铁路专用线，优化区域高速路网，加快佛清从高速</w:t>
            </w:r>
            <w:r>
              <w:rPr>
                <w:rFonts w:ascii="仿宋" w:hAnsi="仿宋" w:eastAsia="仿宋" w:cs="Times New Roman"/>
                <w:bCs/>
                <w:color w:val="000000"/>
                <w:szCs w:val="21"/>
              </w:rPr>
              <w:t>和汕湛高速</w:t>
            </w:r>
            <w:r>
              <w:rPr>
                <w:rFonts w:hint="eastAsia" w:ascii="仿宋" w:hAnsi="仿宋" w:eastAsia="仿宋" w:cs="Times New Roman"/>
                <w:bCs/>
                <w:color w:val="000000"/>
                <w:szCs w:val="21"/>
              </w:rPr>
              <w:t>建设。</w:t>
            </w:r>
          </w:p>
        </w:tc>
      </w:tr>
    </w:tbl>
    <w:p>
      <w:pPr>
        <w:spacing w:line="360" w:lineRule="auto"/>
        <w:rPr>
          <w:rFonts w:ascii="仿宋" w:hAnsi="仿宋" w:eastAsia="仿宋"/>
          <w:sz w:val="32"/>
          <w:szCs w:val="32"/>
        </w:rPr>
      </w:pP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jc w:val="center"/>
        </w:trPr>
        <w:tc>
          <w:tcPr>
            <w:tcW w:w="5000" w:type="pct"/>
            <w:tcBorders>
              <w:top w:val="single" w:color="auto" w:sz="4" w:space="0"/>
              <w:left w:val="single" w:color="auto" w:sz="4" w:space="0"/>
              <w:bottom w:val="single" w:color="auto" w:sz="4" w:space="0"/>
              <w:right w:val="single" w:color="auto" w:sz="4" w:space="0"/>
            </w:tcBorders>
            <w:vAlign w:val="center"/>
          </w:tcPr>
          <w:p>
            <w:r>
              <w:rPr>
                <w:rFonts w:ascii="Calibri" w:hAnsi="Calibri" w:eastAsia="仿宋_GB2312" w:cs="Times New Roman"/>
                <w:b/>
                <w:bCs/>
                <w:color w:val="000000"/>
                <w:kern w:val="0"/>
                <w:sz w:val="28"/>
                <w:szCs w:val="28"/>
              </w:rPr>
              <w:t xml:space="preserve">专栏  </w:t>
            </w:r>
            <w:r>
              <w:rPr>
                <w:rFonts w:hint="eastAsia" w:ascii="Calibri" w:hAnsi="Calibri" w:eastAsia="仿宋_GB2312" w:cs="Times New Roman"/>
                <w:b/>
                <w:bCs/>
                <w:color w:val="000000"/>
                <w:kern w:val="0"/>
                <w:sz w:val="28"/>
                <w:szCs w:val="28"/>
              </w:rPr>
              <w:t>清城区产业合作平台——大湾区北部生态文化旅游合作区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7" w:hRule="atLeast"/>
          <w:jc w:val="center"/>
        </w:trPr>
        <w:tc>
          <w:tcPr>
            <w:tcW w:w="5000"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规划面积：</w:t>
            </w:r>
            <w:r>
              <w:rPr>
                <w:rFonts w:hint="eastAsia" w:ascii="仿宋" w:hAnsi="仿宋" w:eastAsia="仿宋" w:cs="Times New Roman"/>
                <w:bCs/>
                <w:color w:val="000000"/>
                <w:szCs w:val="21"/>
              </w:rPr>
              <w:t>37平方公里</w:t>
            </w:r>
          </w:p>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功能定位：</w:t>
            </w:r>
            <w:r>
              <w:rPr>
                <w:rFonts w:hint="eastAsia" w:ascii="仿宋" w:hAnsi="仿宋" w:eastAsia="仿宋" w:cs="Times New Roman"/>
                <w:bCs/>
                <w:color w:val="000000"/>
                <w:szCs w:val="21"/>
              </w:rPr>
              <w:t>粤港澳大湾区旅游目的地、区域旅游协调发展创新试验区、全域旅游发展样板。</w:t>
            </w:r>
          </w:p>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重要载体：</w:t>
            </w:r>
            <w:r>
              <w:rPr>
                <w:rFonts w:hint="eastAsia" w:ascii="仿宋" w:hAnsi="仿宋" w:eastAsia="仿宋" w:cs="Times New Roman"/>
                <w:bCs/>
                <w:color w:val="000000"/>
                <w:szCs w:val="21"/>
              </w:rPr>
              <w:t>长隆</w:t>
            </w:r>
            <w:r>
              <w:rPr>
                <w:rFonts w:ascii="仿宋" w:hAnsi="仿宋" w:eastAsia="仿宋" w:cs="Times New Roman"/>
                <w:bCs/>
                <w:color w:val="000000"/>
                <w:szCs w:val="21"/>
              </w:rPr>
              <w:t>国际森林度假区</w:t>
            </w:r>
            <w:r>
              <w:rPr>
                <w:rFonts w:hint="eastAsia" w:ascii="仿宋" w:hAnsi="仿宋" w:eastAsia="仿宋" w:cs="Times New Roman"/>
                <w:bCs/>
                <w:color w:val="000000"/>
                <w:szCs w:val="21"/>
              </w:rPr>
              <w:t>、梦</w:t>
            </w:r>
            <w:r>
              <w:rPr>
                <w:rFonts w:ascii="仿宋" w:hAnsi="仿宋" w:eastAsia="仿宋" w:cs="Times New Roman"/>
                <w:bCs/>
                <w:color w:val="000000"/>
                <w:szCs w:val="21"/>
              </w:rPr>
              <w:t>享谷、</w:t>
            </w:r>
            <w:r>
              <w:rPr>
                <w:rFonts w:hint="eastAsia" w:ascii="仿宋" w:hAnsi="仿宋" w:eastAsia="仿宋" w:cs="Times New Roman"/>
                <w:bCs/>
                <w:color w:val="000000"/>
                <w:szCs w:val="21"/>
              </w:rPr>
              <w:t>广东</w:t>
            </w:r>
            <w:r>
              <w:rPr>
                <w:rFonts w:ascii="仿宋" w:hAnsi="仿宋" w:eastAsia="仿宋" w:cs="Times New Roman"/>
                <w:bCs/>
                <w:color w:val="000000"/>
                <w:szCs w:val="21"/>
              </w:rPr>
              <w:t>际华园、</w:t>
            </w:r>
            <w:r>
              <w:rPr>
                <w:rFonts w:hint="eastAsia" w:ascii="仿宋" w:hAnsi="仿宋" w:eastAsia="仿宋" w:cs="Times New Roman"/>
                <w:bCs/>
                <w:color w:val="000000"/>
                <w:szCs w:val="21"/>
              </w:rPr>
              <w:t>银盏</w:t>
            </w:r>
            <w:r>
              <w:rPr>
                <w:rFonts w:ascii="仿宋" w:hAnsi="仿宋" w:eastAsia="仿宋" w:cs="Times New Roman"/>
                <w:bCs/>
                <w:color w:val="000000"/>
                <w:szCs w:val="21"/>
              </w:rPr>
              <w:t>温泉度假区、美林湖度假区</w:t>
            </w:r>
            <w:r>
              <w:rPr>
                <w:rFonts w:hint="eastAsia" w:ascii="仿宋" w:hAnsi="仿宋" w:eastAsia="仿宋" w:cs="Times New Roman"/>
                <w:bCs/>
                <w:color w:val="000000"/>
                <w:szCs w:val="21"/>
              </w:rPr>
              <w:t>、新银盏</w:t>
            </w:r>
            <w:r>
              <w:rPr>
                <w:rFonts w:ascii="仿宋" w:hAnsi="仿宋" w:eastAsia="仿宋" w:cs="Times New Roman"/>
                <w:bCs/>
                <w:color w:val="000000"/>
                <w:szCs w:val="21"/>
              </w:rPr>
              <w:t>温泉度假</w:t>
            </w:r>
            <w:r>
              <w:rPr>
                <w:rFonts w:hint="eastAsia" w:ascii="仿宋" w:hAnsi="仿宋" w:eastAsia="仿宋" w:cs="Times New Roman"/>
                <w:bCs/>
                <w:color w:val="000000"/>
                <w:szCs w:val="21"/>
              </w:rPr>
              <w:t>村等。</w:t>
            </w:r>
          </w:p>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“十四五”发展指引：</w:t>
            </w:r>
            <w:r>
              <w:rPr>
                <w:rFonts w:hint="eastAsia" w:ascii="仿宋" w:hAnsi="仿宋" w:eastAsia="仿宋" w:cs="Times New Roman"/>
                <w:bCs/>
                <w:color w:val="000000"/>
                <w:szCs w:val="21"/>
              </w:rPr>
              <w:t>充分发挥广州融创文旅城和清远长隆国际森林度假区两大龙头项目的辐射带动作用，重点发展休闲旅游度假、健康疗养、商贸购物、文化创意、体育休闲等旅游</w:t>
            </w:r>
            <w:r>
              <w:rPr>
                <w:rFonts w:ascii="仿宋" w:hAnsi="仿宋" w:eastAsia="仿宋" w:cs="Times New Roman"/>
                <w:bCs/>
                <w:color w:val="000000"/>
                <w:szCs w:val="21"/>
              </w:rPr>
              <w:t>业态，打造</w:t>
            </w:r>
            <w:r>
              <w:rPr>
                <w:rFonts w:hint="eastAsia" w:ascii="仿宋" w:hAnsi="仿宋" w:eastAsia="仿宋" w:cs="Times New Roman"/>
                <w:bCs/>
                <w:color w:val="000000"/>
                <w:szCs w:val="21"/>
              </w:rPr>
              <w:t>国际</w:t>
            </w:r>
            <w:r>
              <w:rPr>
                <w:rFonts w:ascii="仿宋" w:hAnsi="仿宋" w:eastAsia="仿宋" w:cs="Times New Roman"/>
                <w:bCs/>
                <w:color w:val="000000"/>
                <w:szCs w:val="21"/>
              </w:rPr>
              <w:t>旅游目的</w:t>
            </w:r>
            <w:r>
              <w:rPr>
                <w:rFonts w:hint="eastAsia" w:ascii="仿宋" w:hAnsi="仿宋" w:eastAsia="仿宋" w:cs="Times New Roman"/>
                <w:bCs/>
                <w:color w:val="000000"/>
                <w:szCs w:val="21"/>
              </w:rPr>
              <w:t>地；与广州医疗机构合作，发挥清远自然资源优势，建设医养结合示范基地；以银盏温泉度假村等温泉旅游景点为载体，与广州中医药优势相结合，形成具有岭南特色的中医药及温泉养生健康旅游产品，创建国家级中医药健康旅游示范基地。</w:t>
            </w:r>
          </w:p>
        </w:tc>
      </w:tr>
    </w:tbl>
    <w:p>
      <w:pPr>
        <w:spacing w:line="360" w:lineRule="auto"/>
        <w:rPr>
          <w:rFonts w:hint="eastAsia" w:ascii="仿宋" w:hAnsi="仿宋" w:eastAsia="仿宋"/>
          <w:sz w:val="32"/>
          <w:szCs w:val="32"/>
        </w:rPr>
      </w:pP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5000" w:type="pct"/>
            <w:tcBorders>
              <w:top w:val="single" w:color="auto" w:sz="4" w:space="0"/>
              <w:left w:val="single" w:color="auto" w:sz="4" w:space="0"/>
              <w:bottom w:val="single" w:color="auto" w:sz="4" w:space="0"/>
              <w:right w:val="single" w:color="auto" w:sz="4" w:space="0"/>
            </w:tcBorders>
            <w:vAlign w:val="center"/>
          </w:tcPr>
          <w:p>
            <w:pPr>
              <w:rPr>
                <w:rFonts w:ascii="Calibri" w:hAnsi="Calibri" w:eastAsia="仿宋_GB2312" w:cs="Times New Roman"/>
                <w:b/>
                <w:bCs/>
                <w:color w:val="000000"/>
                <w:kern w:val="0"/>
                <w:sz w:val="28"/>
                <w:szCs w:val="28"/>
              </w:rPr>
            </w:pPr>
            <w:r>
              <w:rPr>
                <w:rFonts w:ascii="Calibri" w:hAnsi="Calibri" w:eastAsia="仿宋_GB2312" w:cs="Times New Roman"/>
                <w:b/>
                <w:bCs/>
                <w:color w:val="000000"/>
                <w:kern w:val="0"/>
                <w:sz w:val="28"/>
                <w:szCs w:val="28"/>
              </w:rPr>
              <w:t xml:space="preserve">专栏  </w:t>
            </w:r>
            <w:r>
              <w:rPr>
                <w:rFonts w:hint="eastAsia" w:ascii="Calibri" w:hAnsi="Calibri" w:eastAsia="仿宋_GB2312" w:cs="Times New Roman"/>
                <w:b/>
                <w:bCs/>
                <w:color w:val="000000"/>
                <w:kern w:val="0"/>
                <w:sz w:val="28"/>
                <w:szCs w:val="28"/>
              </w:rPr>
              <w:t>清城区产业合作平台——粤港澳大湾区“菜篮子”产业平台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7" w:hRule="atLeast"/>
          <w:jc w:val="center"/>
        </w:trPr>
        <w:tc>
          <w:tcPr>
            <w:tcW w:w="5000" w:type="pct"/>
            <w:tcBorders>
              <w:top w:val="single" w:color="auto" w:sz="4" w:space="0"/>
              <w:left w:val="single" w:color="auto" w:sz="4" w:space="0"/>
              <w:right w:val="single" w:color="auto" w:sz="4" w:space="0"/>
            </w:tcBorders>
            <w:vAlign w:val="center"/>
          </w:tcPr>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规划面积：</w:t>
            </w:r>
            <w:r>
              <w:rPr>
                <w:rFonts w:hint="eastAsia" w:ascii="仿宋" w:hAnsi="仿宋" w:eastAsia="仿宋" w:cs="Times New Roman"/>
                <w:bCs/>
                <w:color w:val="000000"/>
                <w:szCs w:val="21"/>
              </w:rPr>
              <w:t>37平方公里</w:t>
            </w:r>
          </w:p>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功能定位：</w:t>
            </w:r>
            <w:r>
              <w:rPr>
                <w:rFonts w:ascii="仿宋" w:hAnsi="仿宋" w:eastAsia="仿宋" w:cs="Times New Roman"/>
                <w:bCs/>
                <w:color w:val="000000"/>
                <w:szCs w:val="21"/>
              </w:rPr>
              <w:t>全球优质农产品进口大平台</w:t>
            </w:r>
            <w:r>
              <w:rPr>
                <w:rFonts w:hint="eastAsia" w:ascii="仿宋" w:hAnsi="仿宋" w:eastAsia="仿宋" w:cs="Times New Roman"/>
                <w:bCs/>
                <w:color w:val="000000"/>
                <w:szCs w:val="21"/>
              </w:rPr>
              <w:t>、</w:t>
            </w:r>
            <w:r>
              <w:rPr>
                <w:rFonts w:ascii="仿宋" w:hAnsi="仿宋" w:eastAsia="仿宋" w:cs="Times New Roman"/>
                <w:bCs/>
                <w:color w:val="000000"/>
                <w:szCs w:val="21"/>
              </w:rPr>
              <w:t>全国优质农产品加工进出口集散地</w:t>
            </w:r>
            <w:r>
              <w:rPr>
                <w:rFonts w:hint="eastAsia" w:ascii="仿宋" w:hAnsi="仿宋" w:eastAsia="仿宋" w:cs="Times New Roman"/>
                <w:bCs/>
                <w:color w:val="000000"/>
                <w:szCs w:val="21"/>
              </w:rPr>
              <w:t>。</w:t>
            </w:r>
          </w:p>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重要载体：</w:t>
            </w:r>
            <w:r>
              <w:rPr>
                <w:rFonts w:ascii="仿宋" w:hAnsi="仿宋" w:eastAsia="仿宋" w:cs="Times New Roman"/>
                <w:bCs/>
                <w:color w:val="000000"/>
                <w:szCs w:val="21"/>
              </w:rPr>
              <w:t>省级现代农业产业园</w:t>
            </w:r>
            <w:r>
              <w:rPr>
                <w:rFonts w:hint="eastAsia" w:ascii="仿宋" w:hAnsi="仿宋" w:eastAsia="仿宋" w:cs="Times New Roman"/>
                <w:bCs/>
                <w:color w:val="000000"/>
                <w:szCs w:val="21"/>
              </w:rPr>
              <w:t>、广清</w:t>
            </w:r>
            <w:r>
              <w:rPr>
                <w:rFonts w:ascii="仿宋" w:hAnsi="仿宋" w:eastAsia="仿宋" w:cs="Times New Roman"/>
                <w:bCs/>
                <w:color w:val="000000"/>
                <w:szCs w:val="21"/>
              </w:rPr>
              <w:t>空港</w:t>
            </w:r>
            <w:r>
              <w:rPr>
                <w:rFonts w:hint="eastAsia" w:ascii="仿宋" w:hAnsi="仿宋" w:eastAsia="仿宋" w:cs="Times New Roman"/>
                <w:bCs/>
                <w:color w:val="000000"/>
                <w:szCs w:val="21"/>
              </w:rPr>
              <w:t>现代</w:t>
            </w:r>
            <w:r>
              <w:rPr>
                <w:rFonts w:ascii="仿宋" w:hAnsi="仿宋" w:eastAsia="仿宋" w:cs="Times New Roman"/>
                <w:bCs/>
                <w:color w:val="000000"/>
                <w:szCs w:val="21"/>
              </w:rPr>
              <w:t>物流产业新城、</w:t>
            </w:r>
            <w:r>
              <w:rPr>
                <w:rFonts w:hint="eastAsia" w:ascii="仿宋" w:hAnsi="仿宋" w:eastAsia="仿宋" w:cs="Times New Roman"/>
                <w:bCs/>
                <w:color w:val="000000"/>
                <w:szCs w:val="21"/>
              </w:rPr>
              <w:t>粤港澳大湾区“菜篮子”产品清远配送分中心。</w:t>
            </w:r>
          </w:p>
          <w:p>
            <w:pPr>
              <w:adjustRightInd w:val="0"/>
              <w:snapToGrid w:val="0"/>
              <w:spacing w:line="360" w:lineRule="auto"/>
              <w:ind w:firstLine="643"/>
              <w:jc w:val="left"/>
              <w:rPr>
                <w:rFonts w:ascii="仿宋" w:hAnsi="仿宋" w:eastAsia="仿宋" w:cs="Times New Roman"/>
                <w:bCs/>
                <w:color w:val="000000"/>
                <w:szCs w:val="21"/>
              </w:rPr>
            </w:pPr>
            <w:r>
              <w:rPr>
                <w:rFonts w:hint="eastAsia" w:ascii="仿宋" w:hAnsi="仿宋" w:eastAsia="仿宋" w:cs="Times New Roman"/>
                <w:b/>
                <w:color w:val="000000"/>
                <w:szCs w:val="21"/>
              </w:rPr>
              <w:t>“十四五”发展指引：</w:t>
            </w:r>
            <w:r>
              <w:rPr>
                <w:rFonts w:hint="eastAsia" w:ascii="仿宋" w:hAnsi="仿宋" w:eastAsia="仿宋" w:cs="Times New Roman"/>
                <w:bCs/>
                <w:color w:val="000000"/>
                <w:szCs w:val="21"/>
              </w:rPr>
              <w:t>重点对接越秀区、荔湾区、天河区、海珠区等广州中心城区乃至大湾区，发展都市农业、现代商贸物流产业，打造</w:t>
            </w:r>
            <w:r>
              <w:rPr>
                <w:rFonts w:ascii="仿宋" w:hAnsi="仿宋" w:eastAsia="仿宋" w:cs="Times New Roman"/>
                <w:bCs/>
                <w:color w:val="000000"/>
                <w:szCs w:val="21"/>
              </w:rPr>
              <w:t>全球优质农产品进口大平台</w:t>
            </w:r>
            <w:r>
              <w:rPr>
                <w:rFonts w:hint="eastAsia" w:ascii="仿宋" w:hAnsi="仿宋" w:eastAsia="仿宋" w:cs="Times New Roman"/>
                <w:bCs/>
                <w:color w:val="000000"/>
                <w:szCs w:val="21"/>
              </w:rPr>
              <w:t>、</w:t>
            </w:r>
            <w:r>
              <w:rPr>
                <w:rFonts w:ascii="仿宋" w:hAnsi="仿宋" w:eastAsia="仿宋" w:cs="Times New Roman"/>
                <w:bCs/>
                <w:color w:val="000000"/>
                <w:szCs w:val="21"/>
              </w:rPr>
              <w:t>全国优质农产品加工进出口集散地</w:t>
            </w:r>
            <w:r>
              <w:rPr>
                <w:rFonts w:hint="eastAsia" w:ascii="仿宋" w:hAnsi="仿宋" w:eastAsia="仿宋" w:cs="Times New Roman"/>
                <w:bCs/>
                <w:color w:val="000000"/>
                <w:szCs w:val="21"/>
              </w:rPr>
              <w:t>。依托省级现代农业产业园、农业龙头企业等，大力发展都市农业，对接广州空港经济圈，支持以“中央厨房”模式发展大宗农贸产品，建设粤港澳大湾区“菜篮子”产品清远配送分中心，加强生产基地和广州口岸海关通关一体化协作，为大湾区“菜篮子”产品出口量身定制通关放行模式和检验检疫监管模式。</w:t>
            </w:r>
          </w:p>
          <w:p>
            <w:pPr>
              <w:adjustRightInd w:val="0"/>
              <w:snapToGrid w:val="0"/>
              <w:spacing w:line="360" w:lineRule="auto"/>
              <w:ind w:firstLine="643"/>
              <w:jc w:val="left"/>
              <w:rPr>
                <w:rFonts w:ascii="仿宋" w:hAnsi="仿宋" w:eastAsia="仿宋" w:cs="Times New Roman"/>
                <w:bCs/>
                <w:color w:val="000000"/>
                <w:szCs w:val="21"/>
              </w:rPr>
            </w:pPr>
          </w:p>
        </w:tc>
      </w:tr>
    </w:tbl>
    <w:p>
      <w:pPr>
        <w:spacing w:line="360" w:lineRule="auto"/>
        <w:rPr>
          <w:rFonts w:hint="eastAsia" w:ascii="仿宋" w:hAnsi="仿宋" w:eastAsia="仿宋"/>
          <w:sz w:val="32"/>
          <w:szCs w:val="32"/>
        </w:rPr>
      </w:pPr>
    </w:p>
    <w:p>
      <w:pPr>
        <w:pStyle w:val="4"/>
        <w:adjustRightInd w:val="0"/>
        <w:snapToGrid w:val="0"/>
        <w:spacing w:line="360" w:lineRule="auto"/>
        <w:ind w:firstLine="643" w:firstLineChars="200"/>
        <w:rPr>
          <w:rFonts w:ascii="仿宋" w:hAnsi="仿宋" w:eastAsia="仿宋"/>
          <w:shd w:val="clear" w:color="auto" w:fill="FFFFFF"/>
        </w:rPr>
      </w:pPr>
      <w:bookmarkStart w:id="64" w:name="_Toc52368143"/>
      <w:bookmarkStart w:id="65" w:name="_Toc70236891"/>
      <w:r>
        <w:rPr>
          <w:rFonts w:hint="eastAsia" w:ascii="仿宋" w:hAnsi="仿宋" w:eastAsia="仿宋"/>
          <w:shd w:val="clear" w:color="auto" w:fill="FFFFFF"/>
        </w:rPr>
        <w:t>（四）加快协同创新，融入粤港澳大湾区“创新链”</w:t>
      </w:r>
      <w:bookmarkEnd w:id="64"/>
      <w:r>
        <w:rPr>
          <w:rFonts w:hint="eastAsia" w:ascii="仿宋" w:hAnsi="仿宋" w:eastAsia="仿宋"/>
          <w:shd w:val="clear" w:color="auto" w:fill="FFFFFF"/>
        </w:rPr>
        <w:t>。</w:t>
      </w:r>
      <w:bookmarkEnd w:id="65"/>
    </w:p>
    <w:p>
      <w:pPr>
        <w:adjustRightInd w:val="0"/>
        <w:snapToGrid w:val="0"/>
        <w:spacing w:line="360" w:lineRule="auto"/>
        <w:ind w:firstLine="640" w:firstLineChars="200"/>
        <w:rPr>
          <w:rFonts w:ascii="仿宋" w:hAnsi="仿宋" w:eastAsia="仿宋"/>
          <w:bCs/>
          <w:color w:val="000000" w:themeColor="text1"/>
          <w:sz w:val="32"/>
          <w:szCs w:val="32"/>
          <w14:textFill>
            <w14:solidFill>
              <w14:schemeClr w14:val="tx1"/>
            </w14:solidFill>
          </w14:textFill>
        </w:rPr>
      </w:pPr>
      <w:r>
        <w:rPr>
          <w:rFonts w:hint="eastAsia" w:ascii="仿宋" w:hAnsi="仿宋" w:eastAsia="仿宋"/>
          <w:sz w:val="32"/>
          <w:szCs w:val="32"/>
        </w:rPr>
        <w:t>遵循“自主创新、重点跨越”的科技发展理念，积极融入广深港澳科技创新走廊，</w:t>
      </w:r>
      <w:r>
        <w:rPr>
          <w:rFonts w:hint="eastAsia" w:ascii="仿宋" w:hAnsi="仿宋" w:eastAsia="仿宋"/>
          <w:bCs/>
          <w:color w:val="000000" w:themeColor="text1"/>
          <w:sz w:val="32"/>
          <w:szCs w:val="32"/>
          <w14:textFill>
            <w14:solidFill>
              <w14:schemeClr w14:val="tx1"/>
            </w14:solidFill>
          </w14:textFill>
        </w:rPr>
        <w:t>搭建创新平台，强化人才智力支撑，</w:t>
      </w:r>
      <w:r>
        <w:rPr>
          <w:rFonts w:hint="eastAsia" w:ascii="仿宋" w:hAnsi="仿宋" w:eastAsia="仿宋"/>
          <w:sz w:val="32"/>
          <w:szCs w:val="32"/>
        </w:rPr>
        <w:t>努力构建以企业为主体、以市场为导向、产学研相结合的技术创新体系，</w:t>
      </w:r>
      <w:r>
        <w:rPr>
          <w:rFonts w:hint="eastAsia" w:ascii="仿宋" w:hAnsi="仿宋" w:eastAsia="仿宋"/>
          <w:bCs/>
          <w:color w:val="000000" w:themeColor="text1"/>
          <w:sz w:val="32"/>
          <w:szCs w:val="32"/>
          <w14:textFill>
            <w14:solidFill>
              <w14:schemeClr w14:val="tx1"/>
            </w14:solidFill>
          </w14:textFill>
        </w:rPr>
        <w:t>推动清城区从资源依赖型向创新驱动型、从对外部技术的依赖型向自主创新转变。</w:t>
      </w:r>
      <w:bookmarkStart w:id="66" w:name="_Toc50630609"/>
      <w:bookmarkStart w:id="67" w:name="_Toc47111343"/>
      <w:bookmarkStart w:id="68" w:name="_Toc40396879"/>
    </w:p>
    <w:p>
      <w:pPr>
        <w:adjustRightInd w:val="0"/>
        <w:snapToGrid w:val="0"/>
        <w:spacing w:line="360" w:lineRule="auto"/>
        <w:ind w:firstLine="643" w:firstLineChars="200"/>
        <w:rPr>
          <w:rFonts w:ascii="仿宋" w:hAnsi="仿宋" w:eastAsia="仿宋"/>
          <w:bCs/>
          <w:color w:val="000000" w:themeColor="text1"/>
          <w:sz w:val="32"/>
          <w:szCs w:val="32"/>
          <w14:textFill>
            <w14:solidFill>
              <w14:schemeClr w14:val="tx1"/>
            </w14:solidFill>
          </w14:textFill>
        </w:rPr>
      </w:pPr>
      <w:r>
        <w:rPr>
          <w:rFonts w:hint="eastAsia" w:ascii="仿宋" w:hAnsi="仿宋" w:eastAsia="仿宋"/>
          <w:b/>
          <w:bCs/>
          <w:color w:val="000000" w:themeColor="text1"/>
          <w:sz w:val="32"/>
          <w:szCs w:val="32"/>
          <w14:textFill>
            <w14:solidFill>
              <w14:schemeClr w14:val="tx1"/>
            </w14:solidFill>
          </w14:textFill>
        </w:rPr>
        <w:t>强化与大湾区科创资源对接</w:t>
      </w:r>
      <w:bookmarkEnd w:id="66"/>
      <w:bookmarkEnd w:id="67"/>
      <w:bookmarkStart w:id="69" w:name="_Toc47111344"/>
      <w:r>
        <w:rPr>
          <w:rFonts w:hint="eastAsia" w:ascii="仿宋" w:hAnsi="仿宋" w:eastAsia="仿宋"/>
          <w:b/>
          <w:bCs/>
          <w:color w:val="000000" w:themeColor="text1"/>
          <w:sz w:val="32"/>
          <w:szCs w:val="32"/>
          <w14:textFill>
            <w14:solidFill>
              <w14:schemeClr w14:val="tx1"/>
            </w14:solidFill>
          </w14:textFill>
        </w:rPr>
        <w:t>。</w:t>
      </w:r>
      <w:r>
        <w:rPr>
          <w:rFonts w:hint="eastAsia" w:ascii="仿宋" w:hAnsi="仿宋" w:eastAsia="仿宋"/>
          <w:bCs/>
          <w:color w:val="000000" w:themeColor="text1"/>
          <w:sz w:val="32"/>
          <w:szCs w:val="32"/>
          <w14:textFill>
            <w14:solidFill>
              <w14:schemeClr w14:val="tx1"/>
            </w14:solidFill>
          </w14:textFill>
        </w:rPr>
        <w:t>积极主动对接广深珠澳科技创新走廊，推动粤港澳大湾区高校、科研机构、优势企业到清城布局建设创新平台，开展重大共性技术攻关和基础应用研究。着力引进大湾区创新创业团队，围绕绿色陶瓷、新材料、数字经济等产业发展需求合作建设研发中心，打造粤北区域创新转化中心。</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bCs/>
          <w:color w:val="000000" w:themeColor="text1"/>
          <w:sz w:val="32"/>
          <w:szCs w:val="32"/>
          <w14:textFill>
            <w14:solidFill>
              <w14:schemeClr w14:val="tx1"/>
            </w14:solidFill>
          </w14:textFill>
        </w:rPr>
        <w:t>推进创新型平台建设。</w:t>
      </w:r>
      <w:r>
        <w:rPr>
          <w:rFonts w:hint="eastAsia" w:ascii="仿宋" w:hAnsi="仿宋" w:eastAsia="仿宋"/>
          <w:bCs/>
          <w:color w:val="000000" w:themeColor="text1"/>
          <w:sz w:val="32"/>
          <w:szCs w:val="32"/>
          <w14:textFill>
            <w14:solidFill>
              <w14:schemeClr w14:val="tx1"/>
            </w14:solidFill>
          </w14:textFill>
        </w:rPr>
        <w:t>依托广清产业园清城园区、广清空港物流产业新城、互联网+创新产业园（华南声谷）等重大平台项目建设，积极推动数字经济、智慧物流、金融服务、文旅等产业集群项目建设投产，提升各类产业平台的创新引领作用。</w:t>
      </w:r>
      <w:r>
        <w:rPr>
          <w:rFonts w:hint="eastAsia" w:ascii="仿宋" w:hAnsi="仿宋" w:eastAsia="仿宋"/>
          <w:sz w:val="32"/>
          <w:szCs w:val="32"/>
        </w:rPr>
        <w:t>鼓励企业与粤港澳大湾区的高校、科研院所共建高水平的协同创新平台，建立以企业为主体、市场为导向、产学研深度融合的技术创新体系，推动科技成果转化。</w:t>
      </w:r>
    </w:p>
    <w:bookmarkEnd w:id="68"/>
    <w:bookmarkEnd w:id="69"/>
    <w:p>
      <w:pPr>
        <w:adjustRightInd w:val="0"/>
        <w:snapToGrid w:val="0"/>
        <w:spacing w:line="360" w:lineRule="auto"/>
        <w:ind w:firstLine="643" w:firstLineChars="200"/>
        <w:rPr>
          <w:rFonts w:ascii="仿宋" w:hAnsi="仿宋" w:eastAsia="仿宋"/>
          <w:sz w:val="32"/>
          <w:szCs w:val="32"/>
        </w:rPr>
      </w:pPr>
      <w:bookmarkStart w:id="70" w:name="_Toc50630613"/>
      <w:r>
        <w:rPr>
          <w:rFonts w:hint="eastAsia" w:ascii="仿宋" w:hAnsi="仿宋" w:eastAsia="仿宋"/>
          <w:b/>
          <w:bCs/>
          <w:color w:val="000000" w:themeColor="text1"/>
          <w:sz w:val="32"/>
          <w:szCs w:val="32"/>
          <w14:textFill>
            <w14:solidFill>
              <w14:schemeClr w14:val="tx1"/>
            </w14:solidFill>
          </w14:textFill>
        </w:rPr>
        <w:t>培养引进创新型人才</w:t>
      </w:r>
      <w:bookmarkEnd w:id="70"/>
      <w:r>
        <w:rPr>
          <w:rFonts w:hint="eastAsia" w:ascii="仿宋" w:hAnsi="仿宋" w:eastAsia="仿宋"/>
          <w:b/>
          <w:bCs/>
          <w:color w:val="000000" w:themeColor="text1"/>
          <w:sz w:val="32"/>
          <w:szCs w:val="32"/>
          <w14:textFill>
            <w14:solidFill>
              <w14:schemeClr w14:val="tx1"/>
            </w14:solidFill>
          </w14:textFill>
        </w:rPr>
        <w:t>。</w:t>
      </w:r>
      <w:r>
        <w:rPr>
          <w:rFonts w:hint="eastAsia" w:ascii="仿宋" w:hAnsi="仿宋" w:eastAsia="仿宋"/>
          <w:bCs/>
          <w:color w:val="000000" w:themeColor="text1"/>
          <w:sz w:val="32"/>
          <w:szCs w:val="32"/>
          <w14:textFill>
            <w14:solidFill>
              <w14:schemeClr w14:val="tx1"/>
            </w14:solidFill>
          </w14:textFill>
        </w:rPr>
        <w:t>深入实施人才强区战略，全面落实“凤聚清城”“引凤计划”等人才引进办法，依托重大科研、重大工程项目、重点科研基地以及国际科技交流合作项目，培养、引进一批国际国内先进水平的创新科研团队和高端人才，为清城区产业高质量发展提供人才支撑。以广东职教城建设为契机，加强创新型、应用型、技能型人才培养，建立一支“本地化”的工程师和技工队伍。创新优化政校企合作模式，实施“职教优才”培养计划，创建青年人才交流活动中心，加大青年人才尤其是大学生人才吸附力度。</w:t>
      </w:r>
    </w:p>
    <w:p>
      <w:pPr>
        <w:pStyle w:val="3"/>
        <w:adjustRightInd w:val="0"/>
        <w:snapToGrid w:val="0"/>
        <w:spacing w:line="360" w:lineRule="auto"/>
        <w:ind w:firstLine="643" w:firstLineChars="200"/>
        <w:rPr>
          <w:rFonts w:ascii="黑体" w:hAnsi="黑体" w:eastAsia="黑体"/>
          <w:sz w:val="32"/>
          <w:szCs w:val="32"/>
          <w:shd w:val="clear" w:color="auto" w:fill="FFFFFF"/>
        </w:rPr>
      </w:pPr>
      <w:bookmarkStart w:id="71" w:name="_Toc70236892"/>
      <w:r>
        <w:rPr>
          <w:rFonts w:hint="eastAsia" w:ascii="黑体" w:hAnsi="黑体" w:eastAsia="黑体"/>
          <w:sz w:val="32"/>
          <w:szCs w:val="32"/>
          <w:shd w:val="clear" w:color="auto" w:fill="FFFFFF"/>
        </w:rPr>
        <w:t>六、推动生态环境共保联治，实现绿色低碳发展。</w:t>
      </w:r>
      <w:bookmarkEnd w:id="71"/>
    </w:p>
    <w:p>
      <w:pPr>
        <w:pStyle w:val="4"/>
        <w:adjustRightInd w:val="0"/>
        <w:snapToGrid w:val="0"/>
        <w:spacing w:line="360" w:lineRule="auto"/>
        <w:ind w:firstLine="643" w:firstLineChars="200"/>
        <w:rPr>
          <w:rFonts w:ascii="仿宋" w:hAnsi="仿宋" w:eastAsia="仿宋"/>
          <w:shd w:val="clear" w:color="auto" w:fill="FFFFFF"/>
        </w:rPr>
      </w:pPr>
      <w:bookmarkStart w:id="72" w:name="_Toc70236893"/>
      <w:r>
        <w:rPr>
          <w:rFonts w:hint="eastAsia" w:ascii="仿宋" w:hAnsi="仿宋" w:eastAsia="仿宋"/>
          <w:shd w:val="clear" w:color="auto" w:fill="FFFFFF"/>
        </w:rPr>
        <w:t>（一）提高生态环境协同治理能力。</w:t>
      </w:r>
      <w:bookmarkEnd w:id="72"/>
    </w:p>
    <w:p>
      <w:pPr>
        <w:ind w:firstLine="643" w:firstLineChars="200"/>
        <w:rPr>
          <w:rFonts w:ascii="仿宋" w:hAnsi="仿宋" w:eastAsia="仿宋"/>
          <w:sz w:val="32"/>
          <w:szCs w:val="32"/>
        </w:rPr>
      </w:pPr>
      <w:r>
        <w:rPr>
          <w:rFonts w:hint="eastAsia" w:ascii="仿宋" w:hAnsi="仿宋" w:eastAsia="仿宋"/>
          <w:b/>
          <w:bCs/>
          <w:sz w:val="32"/>
          <w:szCs w:val="32"/>
        </w:rPr>
        <w:t>建立健全</w:t>
      </w:r>
      <w:bookmarkStart w:id="73" w:name="_Hlk48334240"/>
      <w:r>
        <w:rPr>
          <w:rFonts w:hint="eastAsia" w:ascii="仿宋" w:hAnsi="仿宋" w:eastAsia="仿宋"/>
          <w:b/>
          <w:bCs/>
          <w:sz w:val="32"/>
          <w:szCs w:val="32"/>
        </w:rPr>
        <w:t>水污染联防联治机制</w:t>
      </w:r>
      <w:bookmarkEnd w:id="73"/>
      <w:r>
        <w:rPr>
          <w:rFonts w:hint="eastAsia" w:ascii="仿宋" w:hAnsi="仿宋" w:eastAsia="仿宋"/>
          <w:b/>
          <w:bCs/>
          <w:sz w:val="32"/>
          <w:szCs w:val="32"/>
        </w:rPr>
        <w:t>。</w:t>
      </w:r>
      <w:bookmarkStart w:id="74" w:name="_Hlk66699569"/>
      <w:r>
        <w:rPr>
          <w:rFonts w:hint="eastAsia" w:ascii="仿宋" w:hAnsi="仿宋" w:eastAsia="仿宋"/>
          <w:sz w:val="32"/>
          <w:szCs w:val="32"/>
        </w:rPr>
        <w:t>加强与周边区县的沟通对接，积极</w:t>
      </w:r>
      <w:bookmarkEnd w:id="74"/>
      <w:r>
        <w:rPr>
          <w:rFonts w:hint="eastAsia" w:ascii="仿宋" w:hAnsi="仿宋" w:eastAsia="仿宋"/>
          <w:sz w:val="32"/>
          <w:szCs w:val="32"/>
        </w:rPr>
        <w:t>参与广佛清水污染协同治理工作，加强北江、乐排河等广清跨界流域河涌综合整治联动，建立健全跨界河涌污染联防联控机制，大力推进跨界河涌水环境共建共治共享。加强与</w:t>
      </w:r>
      <w:bookmarkStart w:id="75" w:name="_Hlk66705954"/>
      <w:r>
        <w:rPr>
          <w:rFonts w:hint="eastAsia" w:ascii="仿宋" w:hAnsi="仿宋" w:eastAsia="仿宋"/>
          <w:sz w:val="32"/>
          <w:szCs w:val="32"/>
        </w:rPr>
        <w:t>广州、佛山等地</w:t>
      </w:r>
      <w:bookmarkEnd w:id="75"/>
      <w:bookmarkStart w:id="76" w:name="_Hlk66705992"/>
      <w:r>
        <w:rPr>
          <w:rFonts w:hint="eastAsia" w:ascii="仿宋" w:hAnsi="仿宋" w:eastAsia="仿宋"/>
          <w:sz w:val="32"/>
          <w:szCs w:val="32"/>
        </w:rPr>
        <w:t>生态部门</w:t>
      </w:r>
      <w:bookmarkEnd w:id="76"/>
      <w:r>
        <w:rPr>
          <w:rFonts w:hint="eastAsia" w:ascii="仿宋" w:hAnsi="仿宋" w:eastAsia="仿宋"/>
          <w:sz w:val="32"/>
          <w:szCs w:val="32"/>
        </w:rPr>
        <w:t>的合作，统筹水环境执法监察力量，采取混合编组、异地执法、交叉执法、巡回执法等方式，严厉打击偷排废水等违法行为，共同完善跨界联合执法机制。加快建设生态环境监管数据平台，建立信息全面、要素齐全、处置高效、决策科学的环境监测监控、预警预报、指挥调度的一体化信息共享平台和精细化管理平台，实现广佛清跨市交界水质监测信息互通共享。在交界流域沿岸执行严格的产业准入，禁止新建印染、重化工、电镀、有色冶炼等重污染项目。</w:t>
      </w:r>
    </w:p>
    <w:p>
      <w:pPr>
        <w:ind w:firstLine="643" w:firstLineChars="200"/>
        <w:rPr>
          <w:rFonts w:ascii="仿宋" w:hAnsi="仿宋" w:eastAsia="仿宋"/>
          <w:sz w:val="32"/>
          <w:szCs w:val="32"/>
        </w:rPr>
      </w:pPr>
      <w:r>
        <w:rPr>
          <w:rFonts w:hint="eastAsia" w:ascii="仿宋" w:hAnsi="仿宋" w:eastAsia="仿宋"/>
          <w:b/>
          <w:bCs/>
          <w:sz w:val="32"/>
          <w:szCs w:val="32"/>
        </w:rPr>
        <w:t>开展大气污染联防联控。</w:t>
      </w:r>
      <w:r>
        <w:rPr>
          <w:rFonts w:hint="eastAsia" w:ascii="仿宋" w:hAnsi="仿宋" w:eastAsia="仿宋"/>
          <w:sz w:val="32"/>
          <w:szCs w:val="32"/>
        </w:rPr>
        <w:t>严控清城区</w:t>
      </w:r>
      <w:bookmarkStart w:id="77" w:name="_Hlk66711672"/>
      <w:r>
        <w:rPr>
          <w:rFonts w:hint="eastAsia" w:ascii="仿宋" w:hAnsi="仿宋" w:eastAsia="仿宋"/>
          <w:sz w:val="32"/>
          <w:szCs w:val="32"/>
        </w:rPr>
        <w:t>高污染</w:t>
      </w:r>
      <w:bookmarkEnd w:id="77"/>
      <w:r>
        <w:rPr>
          <w:rFonts w:hint="eastAsia" w:ascii="仿宋" w:hAnsi="仿宋" w:eastAsia="仿宋"/>
          <w:sz w:val="32"/>
          <w:szCs w:val="32"/>
        </w:rPr>
        <w:t>行业发展，</w:t>
      </w:r>
      <w:bookmarkStart w:id="78" w:name="_Hlk66708454"/>
      <w:r>
        <w:rPr>
          <w:rFonts w:hint="eastAsia" w:ascii="仿宋" w:hAnsi="仿宋" w:eastAsia="仿宋"/>
          <w:sz w:val="32"/>
          <w:szCs w:val="32"/>
        </w:rPr>
        <w:t>配合清远市</w:t>
      </w:r>
      <w:bookmarkEnd w:id="78"/>
      <w:r>
        <w:rPr>
          <w:rFonts w:hint="eastAsia" w:ascii="仿宋" w:hAnsi="仿宋" w:eastAsia="仿宋"/>
          <w:sz w:val="32"/>
          <w:szCs w:val="32"/>
        </w:rPr>
        <w:t>与广州市共同推进工业源污染、移动源污染、扬尘源污染、农业源污染等重点领域综合整治，推动臭氧（O3）氮氧化物（NOx）、细颗粒物（PM2.5）协同治理，严格实施对二氧化硫、氮氧化物、烟粉尘和挥发性有机物等主要污染物排放总量控制。会同广州、佛山等地生态部门确定并公布重点企业名单，持续开展区域大气环境联合执法检查,集中整治违法排污企业。在新能源、环保领域与广州开展研发合作，开展烟气脱硝、有毒有害气体治理等技术攻关，推进能源工业和高污染产业清洁生产技术改造。</w:t>
      </w:r>
    </w:p>
    <w:p>
      <w:pPr>
        <w:ind w:firstLine="643" w:firstLineChars="200"/>
        <w:rPr>
          <w:rFonts w:ascii="仿宋" w:hAnsi="仿宋" w:eastAsia="仿宋"/>
          <w:sz w:val="32"/>
          <w:szCs w:val="32"/>
        </w:rPr>
      </w:pPr>
      <w:r>
        <w:rPr>
          <w:rFonts w:hint="eastAsia" w:ascii="仿宋" w:hAnsi="仿宋" w:eastAsia="仿宋"/>
          <w:b/>
          <w:bCs/>
          <w:sz w:val="32"/>
          <w:szCs w:val="32"/>
        </w:rPr>
        <w:t>学习交流垃圾分类处理经验做法。</w:t>
      </w:r>
      <w:r>
        <w:rPr>
          <w:rFonts w:hint="eastAsia" w:ascii="仿宋" w:hAnsi="仿宋" w:eastAsia="仿宋"/>
          <w:sz w:val="32"/>
          <w:szCs w:val="32"/>
        </w:rPr>
        <w:t>充分利用广清结对帮扶机制，加强清城区与越秀区在生活垃圾分类领域的交流合作，学习“全链条提升、全区域覆盖、全社会参与”和“精准分类、精细处理、精益利用”的越秀模式，运用“越秀经验”，解决清城区生活垃圾分类投放、分类收运、分类处理及再生资源回收利用等问题。</w:t>
      </w:r>
    </w:p>
    <w:p>
      <w:pPr>
        <w:pStyle w:val="4"/>
        <w:adjustRightInd w:val="0"/>
        <w:snapToGrid w:val="0"/>
        <w:spacing w:line="360" w:lineRule="auto"/>
        <w:ind w:firstLine="643" w:firstLineChars="200"/>
        <w:rPr>
          <w:rFonts w:ascii="仿宋" w:hAnsi="仿宋" w:eastAsia="仿宋"/>
          <w:shd w:val="clear" w:color="auto" w:fill="FFFFFF"/>
        </w:rPr>
      </w:pPr>
      <w:bookmarkStart w:id="79" w:name="_Toc70236894"/>
      <w:r>
        <w:rPr>
          <w:rFonts w:hint="eastAsia" w:ascii="仿宋" w:hAnsi="仿宋" w:eastAsia="仿宋"/>
          <w:shd w:val="clear" w:color="auto" w:fill="FFFFFF"/>
        </w:rPr>
        <w:t>（二）深化区域生态协调发展机制改革。</w:t>
      </w:r>
      <w:bookmarkEnd w:id="79"/>
    </w:p>
    <w:p>
      <w:pPr>
        <w:ind w:firstLine="640" w:firstLineChars="200"/>
        <w:rPr>
          <w:rFonts w:ascii="仿宋" w:hAnsi="仿宋" w:eastAsia="仿宋"/>
          <w:sz w:val="32"/>
          <w:szCs w:val="32"/>
          <w:shd w:val="clear" w:color="auto" w:fill="FFFFFF"/>
        </w:rPr>
      </w:pPr>
      <w:r>
        <w:rPr>
          <w:rFonts w:hint="eastAsia" w:ascii="仿宋" w:hAnsi="仿宋" w:eastAsia="仿宋"/>
          <w:sz w:val="32"/>
          <w:szCs w:val="32"/>
          <w:shd w:val="clear" w:color="auto" w:fill="FFFFFF"/>
        </w:rPr>
        <w:t>按照区际公平、权责对等、试点先行、分步推进的原则，协同清远市、广州市相关部门，共同探索建立横向生态补偿机制，形成广清两地交界河流流域上下游地区资金补偿、对口协作、产业转移、人才培训、共建园区等多种横向生态补偿关系。支持清城区发挥生态优势，与广州碳排放权交易所积极开展碳排放权、水权、林业碳汇等生态资源产权交易。</w:t>
      </w:r>
    </w:p>
    <w:p>
      <w:pPr>
        <w:pStyle w:val="4"/>
        <w:adjustRightInd w:val="0"/>
        <w:snapToGrid w:val="0"/>
        <w:spacing w:line="360" w:lineRule="auto"/>
        <w:ind w:firstLine="643" w:firstLineChars="200"/>
        <w:rPr>
          <w:rFonts w:ascii="仿宋" w:hAnsi="仿宋" w:eastAsia="仿宋"/>
          <w:shd w:val="clear" w:color="auto" w:fill="FFFFFF"/>
        </w:rPr>
      </w:pPr>
      <w:bookmarkStart w:id="80" w:name="_Toc70236895"/>
      <w:r>
        <w:rPr>
          <w:rFonts w:hint="eastAsia" w:ascii="仿宋" w:hAnsi="仿宋" w:eastAsia="仿宋"/>
          <w:shd w:val="clear" w:color="auto" w:fill="FFFFFF"/>
        </w:rPr>
        <w:t>（三）形成绿色低碳发展模式，构建环湾区生态高地。</w:t>
      </w:r>
      <w:bookmarkEnd w:id="80"/>
    </w:p>
    <w:p>
      <w:pPr>
        <w:ind w:firstLine="640" w:firstLineChars="200"/>
        <w:rPr>
          <w:rFonts w:ascii="仿宋" w:hAnsi="仿宋" w:eastAsia="仿宋"/>
          <w:b/>
          <w:bCs/>
          <w:sz w:val="32"/>
          <w:szCs w:val="32"/>
          <w:shd w:val="clear" w:color="auto" w:fill="FFFFFF"/>
        </w:rPr>
      </w:pPr>
      <w:r>
        <w:rPr>
          <w:rFonts w:hint="eastAsia" w:ascii="仿宋" w:hAnsi="仿宋" w:eastAsia="仿宋"/>
          <w:sz w:val="32"/>
          <w:szCs w:val="32"/>
          <w:shd w:val="clear" w:color="auto" w:fill="FFFFFF"/>
        </w:rPr>
        <w:t>根据清城区的产业发展基础，加快构建绿色产业体系，逐步形成支撑高质量发展的生态动能。设立严格的产业准入门槛，优化调整产业布局和产业结构。支持清城区加快发展现代农业，高水平建设“菜篮子”，对接融入粤港澳大湾区。加快推进智慧园区建设，推动新一代信息技术在广州清远产业转移工业园的普及应用，以产业数字化推动传统产业绿色化转型。</w:t>
      </w:r>
    </w:p>
    <w:p>
      <w:pPr>
        <w:ind w:firstLine="640" w:firstLineChars="200"/>
        <w:rPr>
          <w:rFonts w:ascii="仿宋" w:hAnsi="仿宋" w:eastAsia="仿宋"/>
          <w:sz w:val="32"/>
          <w:szCs w:val="32"/>
          <w:shd w:val="clear" w:color="auto" w:fill="FFFFFF"/>
        </w:rPr>
      </w:pPr>
      <w:r>
        <w:rPr>
          <w:rFonts w:hint="eastAsia" w:ascii="仿宋" w:hAnsi="仿宋" w:eastAsia="仿宋"/>
          <w:sz w:val="32"/>
          <w:szCs w:val="32"/>
          <w:shd w:val="clear" w:color="auto" w:fill="FFFFFF"/>
        </w:rPr>
        <w:t>推动清城区的生活功能、生产功能和生态功能实现有机融合，支持清远市创建国家森林城市，推进生态景观和碧道建设，优化绿地布局结构，完善城区游憩系统，全面提升城区园林绿化建设水平，打造北部生态发展区生态城市样板。争当融入</w:t>
      </w:r>
      <w:bookmarkStart w:id="81" w:name="_Hlk66791006"/>
      <w:r>
        <w:rPr>
          <w:rFonts w:hint="eastAsia" w:ascii="仿宋" w:hAnsi="仿宋" w:eastAsia="仿宋"/>
          <w:sz w:val="32"/>
          <w:szCs w:val="32"/>
          <w:shd w:val="clear" w:color="auto" w:fill="FFFFFF"/>
        </w:rPr>
        <w:t>粤港澳大湾区</w:t>
      </w:r>
      <w:bookmarkEnd w:id="81"/>
      <w:r>
        <w:rPr>
          <w:rFonts w:hint="eastAsia" w:ascii="仿宋" w:hAnsi="仿宋" w:eastAsia="仿宋"/>
          <w:sz w:val="32"/>
          <w:szCs w:val="32"/>
          <w:shd w:val="clear" w:color="auto" w:fill="FFFFFF"/>
        </w:rPr>
        <w:t>的生态发展排头兵，将自然保护区、风景名胜区纳入保护范围，加强生态涵养、生态保护和生态修复，完善交通干线生态廊道、滨水河道生态廊道和区域绿道建设，筑牢绿色屏障，打造环湾区生态高地。</w:t>
      </w:r>
    </w:p>
    <w:p>
      <w:pPr>
        <w:pStyle w:val="3"/>
        <w:adjustRightInd w:val="0"/>
        <w:snapToGrid w:val="0"/>
        <w:spacing w:line="360" w:lineRule="auto"/>
        <w:ind w:firstLine="643" w:firstLineChars="200"/>
        <w:rPr>
          <w:rFonts w:ascii="黑体" w:hAnsi="黑体" w:eastAsia="黑体"/>
          <w:sz w:val="32"/>
          <w:szCs w:val="32"/>
          <w:shd w:val="clear" w:color="auto" w:fill="FFFFFF"/>
        </w:rPr>
      </w:pPr>
      <w:bookmarkStart w:id="82" w:name="_Toc70236896"/>
      <w:r>
        <w:rPr>
          <w:rFonts w:hint="eastAsia" w:ascii="黑体" w:hAnsi="黑体" w:eastAsia="黑体"/>
          <w:sz w:val="32"/>
          <w:szCs w:val="32"/>
          <w:shd w:val="clear" w:color="auto" w:fill="FFFFFF"/>
        </w:rPr>
        <w:t>七、加快建设国家城乡融合发展试验区，推进城乡一体化。</w:t>
      </w:r>
      <w:bookmarkEnd w:id="82"/>
    </w:p>
    <w:p>
      <w:pPr>
        <w:pStyle w:val="4"/>
        <w:adjustRightInd w:val="0"/>
        <w:snapToGrid w:val="0"/>
        <w:spacing w:line="360" w:lineRule="auto"/>
        <w:ind w:firstLine="643" w:firstLineChars="200"/>
        <w:rPr>
          <w:rFonts w:ascii="仿宋" w:hAnsi="仿宋" w:eastAsia="仿宋"/>
          <w:shd w:val="clear" w:color="auto" w:fill="FFFFFF"/>
        </w:rPr>
      </w:pPr>
      <w:bookmarkStart w:id="83" w:name="_Toc70236897"/>
      <w:r>
        <w:rPr>
          <w:rFonts w:hint="eastAsia" w:ascii="仿宋" w:hAnsi="仿宋" w:eastAsia="仿宋"/>
          <w:shd w:val="clear" w:color="auto" w:fill="FFFFFF"/>
        </w:rPr>
        <w:t>（一）深入实施乡村振兴战略，培育城乡产业协同发展新载体。</w:t>
      </w:r>
      <w:bookmarkEnd w:id="83"/>
    </w:p>
    <w:p>
      <w:pPr>
        <w:adjustRightInd w:val="0"/>
        <w:snapToGrid w:val="0"/>
        <w:spacing w:line="360" w:lineRule="auto"/>
        <w:ind w:firstLine="643" w:firstLineChars="200"/>
        <w:rPr>
          <w:rFonts w:ascii="仿宋" w:hAnsi="仿宋" w:eastAsia="仿宋"/>
          <w:sz w:val="32"/>
          <w:szCs w:val="32"/>
          <w:shd w:val="clear" w:color="auto" w:fill="FFFFFF"/>
        </w:rPr>
      </w:pPr>
      <w:bookmarkStart w:id="84" w:name="_Toc38187057"/>
      <w:bookmarkStart w:id="85" w:name="_Toc40376839"/>
      <w:bookmarkStart w:id="86" w:name="_Toc38578936"/>
      <w:bookmarkStart w:id="87" w:name="_Toc40113049"/>
      <w:bookmarkStart w:id="88" w:name="_Toc40376177"/>
      <w:r>
        <w:rPr>
          <w:rFonts w:hint="eastAsia" w:ascii="仿宋" w:hAnsi="仿宋" w:eastAsia="仿宋"/>
          <w:b/>
          <w:bCs/>
          <w:sz w:val="32"/>
          <w:szCs w:val="32"/>
          <w:shd w:val="clear" w:color="auto" w:fill="FFFFFF"/>
        </w:rPr>
        <w:t>融合三生三产，打造现代农业产业体系</w:t>
      </w:r>
      <w:bookmarkEnd w:id="84"/>
      <w:bookmarkEnd w:id="85"/>
      <w:bookmarkEnd w:id="86"/>
      <w:bookmarkEnd w:id="87"/>
      <w:bookmarkEnd w:id="88"/>
      <w:r>
        <w:rPr>
          <w:rFonts w:hint="eastAsia" w:ascii="仿宋" w:hAnsi="仿宋" w:eastAsia="仿宋"/>
          <w:b/>
          <w:bCs/>
          <w:sz w:val="32"/>
          <w:szCs w:val="32"/>
          <w:shd w:val="clear" w:color="auto" w:fill="FFFFFF"/>
        </w:rPr>
        <w:t>。</w:t>
      </w:r>
      <w:r>
        <w:rPr>
          <w:rFonts w:hint="eastAsia" w:ascii="仿宋" w:hAnsi="仿宋" w:eastAsia="仿宋"/>
          <w:sz w:val="32"/>
          <w:szCs w:val="32"/>
          <w:shd w:val="clear" w:color="auto" w:fill="FFFFFF"/>
        </w:rPr>
        <w:t>推动品牌化、个性化、定制化特色农业发展，支持各乡镇积极参与粤港澳大湾区“菜篮子”工程建设，打造面向粤港澳大湾区的高标准农产品供应基地。加快推动粤港澳大湾区“菜篮子”产品清远配送中心B区规划建设，打造粤港澳大湾区“菜篮子”便利流通体系。全面整合乡村多元化文化资源和生态环境资源，着力发展休闲农业和康养旅游，积极培育“农业+漂流”“农业+森林旅游”等新业态，构建乡村全域旅游发展大格局。</w:t>
      </w:r>
    </w:p>
    <w:p>
      <w:pPr>
        <w:adjustRightInd w:val="0"/>
        <w:snapToGrid w:val="0"/>
        <w:spacing w:line="360" w:lineRule="auto"/>
        <w:ind w:firstLine="643" w:firstLineChars="200"/>
        <w:rPr>
          <w:rFonts w:ascii="仿宋" w:hAnsi="仿宋" w:eastAsia="仿宋"/>
          <w:sz w:val="32"/>
          <w:szCs w:val="32"/>
          <w:shd w:val="clear" w:color="auto" w:fill="FFFFFF"/>
        </w:rPr>
      </w:pPr>
      <w:r>
        <w:rPr>
          <w:rFonts w:hint="eastAsia" w:ascii="仿宋" w:hAnsi="仿宋" w:eastAsia="仿宋"/>
          <w:b/>
          <w:bCs/>
          <w:sz w:val="32"/>
          <w:szCs w:val="32"/>
          <w:shd w:val="clear" w:color="auto" w:fill="FFFFFF"/>
        </w:rPr>
        <w:t>强化城乡产业协同发展平台支撑。</w:t>
      </w:r>
      <w:r>
        <w:rPr>
          <w:rFonts w:hint="eastAsia" w:ascii="仿宋" w:hAnsi="仿宋" w:eastAsia="仿宋"/>
          <w:sz w:val="32"/>
          <w:szCs w:val="32"/>
          <w:shd w:val="clear" w:color="auto" w:fill="FFFFFF"/>
        </w:rPr>
        <w:t>重点将源潭镇打造为城乡产业协同发展先行区，以点带面逐步扩大</w:t>
      </w:r>
      <w:bookmarkStart w:id="89" w:name="_Hlk66735721"/>
      <w:r>
        <w:rPr>
          <w:rFonts w:hint="eastAsia" w:ascii="仿宋" w:hAnsi="仿宋" w:eastAsia="仿宋"/>
          <w:sz w:val="32"/>
          <w:szCs w:val="32"/>
          <w:shd w:val="clear" w:color="auto" w:fill="FFFFFF"/>
        </w:rPr>
        <w:t>城乡产业协同发展</w:t>
      </w:r>
      <w:bookmarkEnd w:id="89"/>
      <w:r>
        <w:rPr>
          <w:rFonts w:hint="eastAsia" w:ascii="仿宋" w:hAnsi="仿宋" w:eastAsia="仿宋"/>
          <w:sz w:val="32"/>
          <w:szCs w:val="32"/>
          <w:shd w:val="clear" w:color="auto" w:fill="FFFFFF"/>
        </w:rPr>
        <w:t>范围。培育特色农文旅项目，以源潭镇新马村乡村振兴样板示范区为重点，建设农文旅一体的乡村建设样板区。深入挖掘产业特色、人文底蕴和生态禀赋，搭建领导机构和制度平台，打造集聚特色产业的创新创业生态圈，重点建设狮子湖商务休闲小镇、美林湖异域风情小镇、黄腾峡旅居小镇、新银盏健康小镇等特色旅游小镇。</w:t>
      </w:r>
    </w:p>
    <w:p>
      <w:pPr>
        <w:adjustRightInd w:val="0"/>
        <w:snapToGrid w:val="0"/>
        <w:spacing w:line="360" w:lineRule="auto"/>
        <w:ind w:firstLine="643" w:firstLineChars="200"/>
        <w:rPr>
          <w:rFonts w:ascii="仿宋" w:hAnsi="仿宋" w:eastAsia="仿宋"/>
          <w:sz w:val="32"/>
          <w:szCs w:val="32"/>
          <w:shd w:val="clear" w:color="auto" w:fill="FFFFFF"/>
        </w:rPr>
      </w:pPr>
      <w:r>
        <w:rPr>
          <w:rFonts w:hint="eastAsia" w:ascii="仿宋" w:hAnsi="仿宋" w:eastAsia="仿宋"/>
          <w:b/>
          <w:bCs/>
          <w:sz w:val="32"/>
          <w:szCs w:val="32"/>
          <w:shd w:val="clear" w:color="auto" w:fill="FFFFFF"/>
        </w:rPr>
        <w:t>保持农民收入持续稳定增长。</w:t>
      </w:r>
      <w:bookmarkStart w:id="90" w:name="_Hlk66782572"/>
      <w:r>
        <w:rPr>
          <w:rFonts w:hint="eastAsia" w:ascii="仿宋" w:hAnsi="仿宋" w:eastAsia="仿宋"/>
          <w:sz w:val="32"/>
          <w:szCs w:val="32"/>
          <w:shd w:val="clear" w:color="auto" w:fill="FFFFFF"/>
        </w:rPr>
        <w:t>健全</w:t>
      </w:r>
      <w:bookmarkEnd w:id="90"/>
      <w:r>
        <w:rPr>
          <w:rFonts w:hint="eastAsia" w:ascii="仿宋" w:hAnsi="仿宋" w:eastAsia="仿宋"/>
          <w:sz w:val="32"/>
          <w:szCs w:val="32"/>
          <w:shd w:val="clear" w:color="auto" w:fill="FFFFFF"/>
        </w:rPr>
        <w:t>农民工资性收入增长机制，大力实施 “广东技工”“粤菜师傅”“南粤家政”等工程，增加就业岗位。健全农民经营性收入增长机制，完善企业与农民利益联结机制，积极探索“公司+基地+农户”模式，大力发展休闲农业、乡村旅游、文化产业、农村电商等产业新业态，拓宽农民增收渠道。建立农民财产性收入增长机制，加快推动农村集体产权制度改革，盘活利用闲置土地、林地资源，探索以集体经营性建设用地通过出让、出租、作价出资（入股）等方式，引入工商资本建厂投资。</w:t>
      </w:r>
    </w:p>
    <w:p>
      <w:pPr>
        <w:pStyle w:val="4"/>
        <w:adjustRightInd w:val="0"/>
        <w:snapToGrid w:val="0"/>
        <w:spacing w:line="360" w:lineRule="auto"/>
        <w:ind w:firstLine="643" w:firstLineChars="200"/>
        <w:rPr>
          <w:rFonts w:ascii="仿宋" w:hAnsi="仿宋" w:eastAsia="仿宋"/>
          <w:shd w:val="clear" w:color="auto" w:fill="FFFFFF"/>
        </w:rPr>
      </w:pPr>
      <w:bookmarkStart w:id="91" w:name="_Toc70236898"/>
      <w:r>
        <w:rPr>
          <w:rFonts w:hint="eastAsia" w:ascii="仿宋" w:hAnsi="仿宋" w:eastAsia="仿宋"/>
          <w:shd w:val="clear" w:color="auto" w:fill="FFFFFF"/>
        </w:rPr>
        <w:t>（二）推进城乡基础设施一体化，实现公共服务普惠共享。</w:t>
      </w:r>
      <w:bookmarkEnd w:id="91"/>
    </w:p>
    <w:p>
      <w:pPr>
        <w:adjustRightInd w:val="0"/>
        <w:snapToGrid w:val="0"/>
        <w:spacing w:line="360" w:lineRule="auto"/>
        <w:ind w:firstLine="643" w:firstLineChars="200"/>
        <w:rPr>
          <w:rFonts w:ascii="仿宋" w:hAnsi="仿宋" w:eastAsia="仿宋"/>
          <w:sz w:val="32"/>
          <w:szCs w:val="32"/>
          <w:shd w:val="clear" w:color="auto" w:fill="FFFFFF"/>
        </w:rPr>
      </w:pPr>
      <w:r>
        <w:rPr>
          <w:rFonts w:hint="eastAsia" w:ascii="仿宋" w:hAnsi="仿宋" w:eastAsia="仿宋"/>
          <w:b/>
          <w:bCs/>
          <w:sz w:val="32"/>
          <w:szCs w:val="32"/>
          <w:shd w:val="clear" w:color="auto" w:fill="FFFFFF"/>
        </w:rPr>
        <w:t>统筹城乡基础设施规划建设。</w:t>
      </w:r>
      <w:r>
        <w:rPr>
          <w:rFonts w:hint="eastAsia" w:ascii="仿宋" w:hAnsi="仿宋" w:eastAsia="仿宋"/>
          <w:sz w:val="32"/>
          <w:szCs w:val="32"/>
          <w:shd w:val="clear" w:color="auto" w:fill="FFFFFF"/>
        </w:rPr>
        <w:t>以区域为整体，建立覆盖城乡的基础设施规划体系，形成各部门、各区域、各层级之间的合作机制，统筹道路、供水、供电和“新基建”等基础设施的规划设计，推动各建设主体协同建设。</w:t>
      </w:r>
    </w:p>
    <w:p>
      <w:pPr>
        <w:adjustRightInd w:val="0"/>
        <w:snapToGrid w:val="0"/>
        <w:spacing w:line="360" w:lineRule="auto"/>
        <w:ind w:firstLine="643" w:firstLineChars="200"/>
        <w:rPr>
          <w:rFonts w:ascii="仿宋" w:hAnsi="仿宋" w:eastAsia="仿宋"/>
          <w:sz w:val="32"/>
          <w:szCs w:val="32"/>
          <w:shd w:val="clear" w:color="auto" w:fill="FFFFFF"/>
        </w:rPr>
      </w:pPr>
      <w:r>
        <w:rPr>
          <w:rFonts w:hint="eastAsia" w:ascii="仿宋" w:hAnsi="仿宋" w:eastAsia="仿宋"/>
          <w:b/>
          <w:bCs/>
          <w:sz w:val="32"/>
          <w:szCs w:val="32"/>
          <w:shd w:val="clear" w:color="auto" w:fill="FFFFFF"/>
        </w:rPr>
        <w:t>推动城乡教育资源均衡配置。</w:t>
      </w:r>
      <w:r>
        <w:rPr>
          <w:rFonts w:hint="eastAsia" w:ascii="仿宋" w:hAnsi="仿宋" w:eastAsia="仿宋"/>
          <w:sz w:val="32"/>
          <w:szCs w:val="32"/>
          <w:shd w:val="clear" w:color="auto" w:fill="FFFFFF"/>
        </w:rPr>
        <w:t>推动城乡学校结对，以清远市华侨中学、清远市第一实验中学、清远市田家炳中学等学校为龙头，大力扶持农村学校，共享城市学校的硬件与软件设施，提升清城区教育均衡水平。建立完善义务教育学校校长、教师交流制度，促进师资队伍教学管理水平均衡发展，实现城乡各校之间师资力量均衡配置。</w:t>
      </w:r>
    </w:p>
    <w:p>
      <w:pPr>
        <w:adjustRightInd w:val="0"/>
        <w:snapToGrid w:val="0"/>
        <w:spacing w:line="360" w:lineRule="auto"/>
        <w:ind w:firstLine="643" w:firstLineChars="200"/>
        <w:rPr>
          <w:rFonts w:ascii="仿宋" w:hAnsi="仿宋" w:eastAsia="仿宋"/>
          <w:sz w:val="32"/>
          <w:szCs w:val="32"/>
          <w:shd w:val="clear" w:color="auto" w:fill="FFFFFF"/>
        </w:rPr>
      </w:pPr>
      <w:r>
        <w:rPr>
          <w:rFonts w:hint="eastAsia" w:ascii="仿宋" w:hAnsi="仿宋" w:eastAsia="仿宋"/>
          <w:b/>
          <w:bCs/>
          <w:sz w:val="32"/>
          <w:szCs w:val="32"/>
          <w:shd w:val="clear" w:color="auto" w:fill="FFFFFF"/>
        </w:rPr>
        <w:t>健全乡村医疗卫生服务体系。</w:t>
      </w:r>
      <w:r>
        <w:rPr>
          <w:rFonts w:hint="eastAsia" w:ascii="仿宋" w:hAnsi="仿宋" w:eastAsia="仿宋"/>
          <w:sz w:val="32"/>
          <w:szCs w:val="32"/>
          <w:shd w:val="clear" w:color="auto" w:fill="FFFFFF"/>
        </w:rPr>
        <w:t>推进清城区医疗卫生共同体建设，推动区—镇（街）—村（居）三级医疗卫生服务一体化。建立城乡医院对口帮扶、巡回医疗和“互联网+医疗”机制，市区医院定期到镇村卫生机构进行健康体检、重大疾病筛查等服务。改革现有医保支付制度，实行医保与区域医共体统一结算。改革人事制度，实现医疗人才合理轮岗、统筹使用。深化“六统一”管理，逐步形成医疗卫生服务、责任、利益、管理共同体。以公建民营村卫生室为试点，推行乡村医生“镇聘村用”，加强乡村医生队伍建设。</w:t>
      </w:r>
    </w:p>
    <w:p>
      <w:pPr>
        <w:adjustRightInd w:val="0"/>
        <w:snapToGrid w:val="0"/>
        <w:spacing w:line="360" w:lineRule="auto"/>
        <w:ind w:firstLine="643" w:firstLineChars="200"/>
        <w:rPr>
          <w:rFonts w:ascii="仿宋" w:hAnsi="仿宋" w:eastAsia="仿宋"/>
          <w:b/>
          <w:bCs/>
          <w:sz w:val="32"/>
          <w:szCs w:val="32"/>
          <w:shd w:val="clear" w:color="auto" w:fill="FFFFFF"/>
        </w:rPr>
      </w:pPr>
      <w:r>
        <w:rPr>
          <w:rFonts w:hint="eastAsia" w:ascii="仿宋" w:hAnsi="仿宋" w:eastAsia="仿宋"/>
          <w:b/>
          <w:bCs/>
          <w:sz w:val="32"/>
          <w:szCs w:val="32"/>
          <w:shd w:val="clear" w:color="auto" w:fill="FFFFFF"/>
        </w:rPr>
        <w:t>完善城乡公共文化服务体系。</w:t>
      </w:r>
      <w:r>
        <w:rPr>
          <w:rFonts w:hint="eastAsia" w:ascii="仿宋" w:hAnsi="仿宋" w:eastAsia="仿宋"/>
          <w:sz w:val="32"/>
          <w:szCs w:val="32"/>
          <w:shd w:val="clear" w:color="auto" w:fill="FFFFFF"/>
        </w:rPr>
        <w:t>健全公共文化服务城乡联动机制，加强城乡区域公共文化服务资源整合和互联互通，推进城乡“结对子、种文化”，加强城市对农村文化建设的帮扶，引导优质文化资源和服务向老少边穷地区倾斜，促进城乡基本公共文化服务均等化。以举办第十六届省运会为契机，谋划建设一批城乡体育设施，大力推进体育生活化社区（村）建设。加大对农村民间文化艺术的扶持力度，推进“三农”出版物出版发行、广播电视涉农节目制作和农村题材文艺作品创作。</w:t>
      </w:r>
    </w:p>
    <w:p>
      <w:pPr>
        <w:pStyle w:val="4"/>
        <w:adjustRightInd w:val="0"/>
        <w:snapToGrid w:val="0"/>
        <w:spacing w:line="360" w:lineRule="auto"/>
        <w:ind w:firstLine="643" w:firstLineChars="200"/>
        <w:rPr>
          <w:rFonts w:ascii="仿宋" w:hAnsi="仿宋" w:eastAsia="仿宋"/>
          <w:shd w:val="clear" w:color="auto" w:fill="FFFFFF"/>
        </w:rPr>
      </w:pPr>
      <w:bookmarkStart w:id="92" w:name="_Toc70236899"/>
      <w:r>
        <w:rPr>
          <w:rFonts w:hint="eastAsia" w:ascii="仿宋" w:hAnsi="仿宋" w:eastAsia="仿宋"/>
          <w:shd w:val="clear" w:color="auto" w:fill="FFFFFF"/>
        </w:rPr>
        <w:t>（三）促进城乡要素自由流动和合理配置。</w:t>
      </w:r>
      <w:bookmarkEnd w:id="92"/>
    </w:p>
    <w:p>
      <w:pPr>
        <w:adjustRightInd w:val="0"/>
        <w:snapToGrid w:val="0"/>
        <w:spacing w:line="360" w:lineRule="auto"/>
        <w:ind w:firstLine="643" w:firstLineChars="200"/>
        <w:rPr>
          <w:rFonts w:ascii="仿宋" w:hAnsi="仿宋" w:eastAsia="仿宋"/>
          <w:sz w:val="32"/>
          <w:szCs w:val="32"/>
          <w:shd w:val="clear" w:color="auto" w:fill="FFFFFF"/>
        </w:rPr>
      </w:pPr>
      <w:r>
        <w:rPr>
          <w:rFonts w:hint="eastAsia" w:ascii="仿宋" w:hAnsi="仿宋" w:eastAsia="仿宋"/>
          <w:b/>
          <w:bCs/>
          <w:sz w:val="32"/>
          <w:szCs w:val="32"/>
          <w:shd w:val="clear" w:color="auto" w:fill="FFFFFF"/>
        </w:rPr>
        <w:t>健全农业转移人口市民化机制。</w:t>
      </w:r>
      <w:r>
        <w:rPr>
          <w:rFonts w:hint="eastAsia" w:ascii="仿宋" w:hAnsi="仿宋" w:eastAsia="仿宋"/>
          <w:sz w:val="32"/>
          <w:szCs w:val="32"/>
          <w:shd w:val="clear" w:color="auto" w:fill="FFFFFF"/>
        </w:rPr>
        <w:t>深化户籍制度改革，消除城乡间户籍壁垒，全面落实租赁房屋的常住人口在清城区公共户口落户。保障农业转移人口随迁子女平等享有受教育权利，推动各城镇将外来务工人员及居住证持有人的随迁子女纳入城镇教育发展规划和财政保障范围。保障进城落户农民与地城镇居民同等享有清城区政府提供基本住房的权利，推动发展建设共有产权住房。推动农业转移人口参加职工医保享受待遇均等化，保障选择参加居民医保的居住证持有人按城镇居民同等标准缴费，并享受与城镇居民同等的医保待遇。</w:t>
      </w:r>
    </w:p>
    <w:p>
      <w:pPr>
        <w:adjustRightInd w:val="0"/>
        <w:snapToGrid w:val="0"/>
        <w:spacing w:line="360" w:lineRule="auto"/>
        <w:ind w:firstLine="643" w:firstLineChars="200"/>
        <w:rPr>
          <w:rFonts w:ascii="仿宋" w:hAnsi="仿宋" w:eastAsia="仿宋"/>
          <w:sz w:val="32"/>
          <w:szCs w:val="32"/>
          <w:shd w:val="clear" w:color="auto" w:fill="FFFFFF"/>
        </w:rPr>
      </w:pPr>
      <w:r>
        <w:rPr>
          <w:rFonts w:hint="eastAsia" w:ascii="仿宋" w:hAnsi="仿宋" w:eastAsia="仿宋"/>
          <w:b/>
          <w:bCs/>
          <w:sz w:val="32"/>
          <w:szCs w:val="32"/>
          <w:shd w:val="clear" w:color="auto" w:fill="FFFFFF"/>
        </w:rPr>
        <w:t>建立开放包容的乡村人才吸纳机制。</w:t>
      </w:r>
      <w:r>
        <w:rPr>
          <w:rFonts w:hint="eastAsia" w:ascii="仿宋" w:hAnsi="仿宋" w:eastAsia="仿宋"/>
          <w:sz w:val="32"/>
          <w:szCs w:val="32"/>
          <w:shd w:val="clear" w:color="auto" w:fill="FFFFFF"/>
        </w:rPr>
        <w:t>制定财政、金融、社会保障、税收、住房、名誉身份等奖励政策，吸引各类人才返乡入乡创业兴业。扩大高校毕业生“三支一扶”计划招募规模，深入推进大学生村官选聘工作，开展乡村振兴“青春建功”行动。建立城乡人才合作交流机制，探索通过岗编适度分离、挂职、兼职和在岗、离岗创新创业等多种方式，推进区级教科文卫体等工作人员服务乡村。推动职称评定、工资待遇等向乡村教师、医生倾斜。深入实施农村科技特派员行动，鼓励科技人员技术、资金、信息等入股，壮大科技成果转移转化人才队伍。加大定向村干部公开考录乡镇公务员或选拔乡镇领导干部力度，建立村组干部待遇报酬正常增长机制。</w:t>
      </w:r>
    </w:p>
    <w:p>
      <w:pPr>
        <w:adjustRightInd w:val="0"/>
        <w:snapToGrid w:val="0"/>
        <w:spacing w:line="360" w:lineRule="auto"/>
        <w:ind w:firstLine="643" w:firstLineChars="200"/>
        <w:rPr>
          <w:rFonts w:ascii="仿宋" w:hAnsi="仿宋" w:eastAsia="仿宋"/>
          <w:sz w:val="32"/>
          <w:szCs w:val="32"/>
          <w:shd w:val="clear" w:color="auto" w:fill="FFFFFF"/>
        </w:rPr>
      </w:pPr>
      <w:r>
        <w:rPr>
          <w:rFonts w:hint="eastAsia" w:ascii="仿宋" w:hAnsi="仿宋" w:eastAsia="仿宋"/>
          <w:b/>
          <w:bCs/>
          <w:sz w:val="32"/>
          <w:szCs w:val="32"/>
          <w:shd w:val="clear" w:color="auto" w:fill="FFFFFF"/>
        </w:rPr>
        <w:t>健全农村集体经营性建设用地入市制度</w:t>
      </w:r>
      <w:bookmarkStart w:id="93" w:name="_Hlk66731518"/>
      <w:r>
        <w:rPr>
          <w:rFonts w:hint="eastAsia" w:ascii="仿宋" w:hAnsi="仿宋" w:eastAsia="仿宋"/>
          <w:b/>
          <w:bCs/>
          <w:sz w:val="32"/>
          <w:szCs w:val="32"/>
          <w:shd w:val="clear" w:color="auto" w:fill="FFFFFF"/>
        </w:rPr>
        <w:t>。</w:t>
      </w:r>
      <w:bookmarkEnd w:id="93"/>
      <w:r>
        <w:rPr>
          <w:rFonts w:hint="eastAsia" w:ascii="仿宋" w:hAnsi="仿宋" w:eastAsia="仿宋"/>
          <w:sz w:val="32"/>
          <w:szCs w:val="32"/>
          <w:shd w:val="clear" w:color="auto" w:fill="FFFFFF"/>
        </w:rPr>
        <w:t>探索宅基地所有权、资格权、使用权“三权分置”具体实现形式，落实宅基地集体所有权，保障宅基地农户资格权和农民房屋财产权，适度放活宅基地和农民房屋使用权，探索和完善宅基地有偿使用和退出机制。建立健全集体经营性建设用地入市制度及相关配套制度，在符合规划和用途管制前提下，完善农村集体经营性建设用地出让、租赁、入股机制，实现集体经营性建设用地与国有土地同等入市、同权同价，补充市场的建设用地供应。推进集体土地整备利用，对规划为经营性建设用地的农村集体存量土地进行整合和整理开发，统一招商。</w:t>
      </w:r>
    </w:p>
    <w:p>
      <w:pPr>
        <w:adjustRightInd w:val="0"/>
        <w:snapToGrid w:val="0"/>
        <w:spacing w:line="360" w:lineRule="auto"/>
        <w:ind w:firstLine="643" w:firstLineChars="200"/>
        <w:rPr>
          <w:rFonts w:ascii="仿宋" w:hAnsi="仿宋" w:eastAsia="仿宋"/>
          <w:sz w:val="32"/>
          <w:szCs w:val="32"/>
          <w:shd w:val="clear" w:color="auto" w:fill="FFFFFF"/>
        </w:rPr>
      </w:pPr>
      <w:r>
        <w:rPr>
          <w:rFonts w:hint="eastAsia" w:ascii="仿宋" w:hAnsi="仿宋" w:eastAsia="仿宋"/>
          <w:b/>
          <w:bCs/>
          <w:sz w:val="32"/>
          <w:szCs w:val="32"/>
          <w:shd w:val="clear" w:color="auto" w:fill="FFFFFF"/>
        </w:rPr>
        <w:t>完善农村金融服务体系。</w:t>
      </w:r>
      <w:r>
        <w:rPr>
          <w:rFonts w:hint="eastAsia" w:ascii="仿宋" w:hAnsi="仿宋" w:eastAsia="仿宋"/>
          <w:sz w:val="32"/>
          <w:szCs w:val="32"/>
          <w:shd w:val="clear" w:color="auto" w:fill="FFFFFF"/>
        </w:rPr>
        <w:t>加强乡村信用环境建设，建立覆盖全区城乡的信用数据库，搭建政银企对接服务平台。构建新型乡村助农服务体系，探索符合条件的农民专业合作社、供销合作社和农村信用社培育发展新型农村合作金融组织。推动农业保险专业化体制机制建设，探索适应各乡镇实际的保险品种。完善农村金融风险防范处置机制，推广政银保、政银担合作的信贷风险共担机制。依法合规开展集体林权、承包地经营权、土地收益保证等抵质押贷款业务，创新开展动产等抵质押融资业务。</w:t>
      </w:r>
    </w:p>
    <w:p>
      <w:pPr>
        <w:adjustRightInd w:val="0"/>
        <w:snapToGrid w:val="0"/>
        <w:spacing w:line="360" w:lineRule="auto"/>
        <w:ind w:firstLine="643" w:firstLineChars="200"/>
        <w:rPr>
          <w:rFonts w:ascii="仿宋" w:hAnsi="仿宋" w:eastAsia="仿宋"/>
          <w:sz w:val="32"/>
          <w:szCs w:val="32"/>
          <w:shd w:val="clear" w:color="auto" w:fill="FFFFFF"/>
        </w:rPr>
      </w:pPr>
      <w:r>
        <w:rPr>
          <w:rFonts w:hint="eastAsia" w:ascii="仿宋" w:hAnsi="仿宋" w:eastAsia="仿宋"/>
          <w:b/>
          <w:bCs/>
          <w:sz w:val="32"/>
          <w:szCs w:val="32"/>
          <w:shd w:val="clear" w:color="auto" w:fill="FFFFFF"/>
        </w:rPr>
        <w:t>推动工商资本入乡和科技成果入乡转化。</w:t>
      </w:r>
      <w:r>
        <w:rPr>
          <w:rFonts w:hint="eastAsia" w:ascii="仿宋" w:hAnsi="仿宋" w:eastAsia="仿宋"/>
          <w:sz w:val="32"/>
          <w:szCs w:val="32"/>
          <w:shd w:val="clear" w:color="auto" w:fill="FFFFFF"/>
        </w:rPr>
        <w:t>深化“放管服”改革，开通城区工商资本入乡“绿色通道”。推进与社会资本合作，通过贴息、设立基金等方式鼓励工商资本发展适合企业化经营的现代种养业、农产品加工流通产业，支持工商资本进入特色农产品开发和生产经营领域。鼓励工商资本与村集体和农户建立起紧密的利益联结机制，探索多样化的联合与合作。探索工商资本与村集体合作共赢模式，通过就业带动、股份合作等多种形式让农民合理分享全产业链增值收益。实施工商资本租赁农户承包地分级备案制度，建立租赁农地风险保障金制度。</w:t>
      </w:r>
    </w:p>
    <w:p>
      <w:pPr>
        <w:pStyle w:val="4"/>
        <w:adjustRightInd w:val="0"/>
        <w:snapToGrid w:val="0"/>
        <w:spacing w:line="360" w:lineRule="auto"/>
        <w:ind w:firstLine="643" w:firstLineChars="200"/>
        <w:rPr>
          <w:rFonts w:ascii="仿宋" w:hAnsi="仿宋" w:eastAsia="仿宋"/>
          <w:shd w:val="clear" w:color="auto" w:fill="FFFFFF"/>
        </w:rPr>
      </w:pPr>
      <w:bookmarkStart w:id="94" w:name="_Toc70236900"/>
      <w:r>
        <w:rPr>
          <w:rFonts w:hint="eastAsia" w:ascii="仿宋" w:hAnsi="仿宋" w:eastAsia="仿宋"/>
          <w:shd w:val="clear" w:color="auto" w:fill="FFFFFF"/>
        </w:rPr>
        <w:t>（四）全域推进农村环境治理，建设生态宜居美丽乡村。</w:t>
      </w:r>
      <w:bookmarkEnd w:id="94"/>
    </w:p>
    <w:p>
      <w:pPr>
        <w:adjustRightInd w:val="0"/>
        <w:snapToGrid w:val="0"/>
        <w:spacing w:line="360" w:lineRule="auto"/>
        <w:ind w:firstLine="643" w:firstLineChars="200"/>
        <w:rPr>
          <w:rFonts w:ascii="仿宋" w:hAnsi="仿宋" w:eastAsia="仿宋"/>
          <w:sz w:val="32"/>
          <w:szCs w:val="32"/>
          <w:shd w:val="clear" w:color="auto" w:fill="FFFFFF"/>
        </w:rPr>
      </w:pPr>
      <w:r>
        <w:rPr>
          <w:rFonts w:hint="eastAsia" w:ascii="仿宋" w:hAnsi="仿宋" w:eastAsia="仿宋"/>
          <w:b/>
          <w:bCs/>
          <w:sz w:val="32"/>
          <w:szCs w:val="32"/>
          <w:shd w:val="clear" w:color="auto" w:fill="FFFFFF"/>
        </w:rPr>
        <w:t>加强农业农村生态环境综合治理。</w:t>
      </w:r>
      <w:r>
        <w:rPr>
          <w:rFonts w:hint="eastAsia" w:ascii="仿宋" w:hAnsi="仿宋" w:eastAsia="仿宋"/>
          <w:sz w:val="32"/>
          <w:szCs w:val="32"/>
          <w:shd w:val="clear" w:color="auto" w:fill="FFFFFF"/>
        </w:rPr>
        <w:t>优化农业产业布局,修复农业农村生态景观，实施耕地质量保护和提升行动，培育发展生态循环农业，逐步建立起农业生产力与资源环境承载力相匹配的农业生态环境。加大水土流失治理力度,加强水土流失预防保护工作,推进水土保持生态修复工程实施。加强农村饮用水水源地保护、农村河道综合整治和水污染综合治理，保障粤港澳大湾区江河水系的“山—海”生态通道，构建生态安全屏障。</w:t>
      </w:r>
    </w:p>
    <w:p>
      <w:pPr>
        <w:adjustRightInd w:val="0"/>
        <w:snapToGrid w:val="0"/>
        <w:spacing w:line="360" w:lineRule="auto"/>
        <w:ind w:firstLine="643" w:firstLineChars="200"/>
        <w:rPr>
          <w:rFonts w:ascii="仿宋" w:hAnsi="仿宋" w:eastAsia="仿宋"/>
          <w:sz w:val="32"/>
          <w:szCs w:val="32"/>
          <w:shd w:val="clear" w:color="auto" w:fill="FFFFFF"/>
        </w:rPr>
      </w:pPr>
      <w:r>
        <w:rPr>
          <w:rFonts w:hint="eastAsia" w:ascii="仿宋" w:hAnsi="仿宋" w:eastAsia="仿宋"/>
          <w:b/>
          <w:bCs/>
          <w:sz w:val="32"/>
          <w:szCs w:val="32"/>
          <w:shd w:val="clear" w:color="auto" w:fill="FFFFFF"/>
        </w:rPr>
        <w:t>提升乡村人居环境，建设美丽乡村。</w:t>
      </w:r>
      <w:r>
        <w:rPr>
          <w:rFonts w:hint="eastAsia" w:ascii="仿宋" w:hAnsi="仿宋" w:eastAsia="仿宋"/>
          <w:sz w:val="32"/>
          <w:szCs w:val="32"/>
          <w:shd w:val="clear" w:color="auto" w:fill="FFFFFF"/>
        </w:rPr>
        <w:t>按照“整洁村、示范村、特色村、生态村、美丽田园”梯度创建原则，加快推进全区美丽乡村建设工作。重点推进石角镇乐排河沿线村庄、石角镇创建生态宜居美丽乡村示范镇以及东城街新桥村、横荷街车头村、源潭镇洞尾村、石角镇石岐村、飞来峡镇文洞村等生态宜居美丽乡村示范村的美丽乡村建设，率先完成乐排河农村污水整治和“万千工程”示范镇、示范村任务。充分发挥部门职能作用，指导、督导农村泥砖房清理改造、农村生活垃圾处理、农村无害化户厕改造、村庄规划编制、典型宣传等工作。</w:t>
      </w:r>
    </w:p>
    <w:p>
      <w:pPr>
        <w:pStyle w:val="3"/>
        <w:adjustRightInd w:val="0"/>
        <w:snapToGrid w:val="0"/>
        <w:spacing w:line="360" w:lineRule="auto"/>
        <w:ind w:firstLine="643" w:firstLineChars="200"/>
        <w:rPr>
          <w:rFonts w:ascii="黑体" w:hAnsi="黑体" w:eastAsia="黑体"/>
          <w:sz w:val="32"/>
          <w:szCs w:val="32"/>
          <w:shd w:val="clear" w:color="auto" w:fill="FFFFFF"/>
        </w:rPr>
      </w:pPr>
      <w:bookmarkStart w:id="95" w:name="_Toc70236901"/>
      <w:r>
        <w:rPr>
          <w:rFonts w:hint="eastAsia" w:ascii="黑体" w:hAnsi="黑体" w:eastAsia="黑体"/>
          <w:sz w:val="32"/>
          <w:szCs w:val="32"/>
          <w:shd w:val="clear" w:color="auto" w:fill="FFFFFF"/>
        </w:rPr>
        <w:t>八、完善民生保障制度，实现基本公共服务均衡共享。</w:t>
      </w:r>
      <w:bookmarkEnd w:id="95"/>
    </w:p>
    <w:p>
      <w:pPr>
        <w:pStyle w:val="4"/>
        <w:adjustRightInd w:val="0"/>
        <w:snapToGrid w:val="0"/>
        <w:spacing w:line="360" w:lineRule="auto"/>
        <w:ind w:firstLine="640" w:firstLineChars="200"/>
        <w:rPr>
          <w:rFonts w:ascii="仿宋" w:hAnsi="仿宋" w:eastAsia="仿宋"/>
          <w:shd w:val="clear" w:color="auto" w:fill="FFFFFF"/>
        </w:rPr>
      </w:pPr>
      <w:r>
        <w:fldChar w:fldCharType="begin"/>
      </w:r>
      <w:r>
        <w:instrText xml:space="preserve"> HYPERLINK \l "_Toc50421896" </w:instrText>
      </w:r>
      <w:r>
        <w:fldChar w:fldCharType="separate"/>
      </w:r>
      <w:bookmarkStart w:id="96" w:name="_Toc70236902"/>
      <w:r>
        <w:rPr>
          <w:rFonts w:hint="eastAsia" w:ascii="仿宋" w:hAnsi="仿宋" w:eastAsia="仿宋"/>
          <w:shd w:val="clear" w:color="auto" w:fill="FFFFFF"/>
        </w:rPr>
        <w:t>（一）推动区域优质教育资源合作</w:t>
      </w:r>
      <w:r>
        <w:rPr>
          <w:rFonts w:hint="eastAsia" w:ascii="仿宋" w:hAnsi="仿宋" w:eastAsia="仿宋"/>
          <w:shd w:val="clear" w:color="auto" w:fill="FFFFFF"/>
        </w:rPr>
        <w:fldChar w:fldCharType="end"/>
      </w:r>
      <w:r>
        <w:rPr>
          <w:rFonts w:hint="eastAsia" w:ascii="仿宋" w:hAnsi="仿宋" w:eastAsia="仿宋"/>
          <w:shd w:val="clear" w:color="auto" w:fill="FFFFFF"/>
        </w:rPr>
        <w:t>，实现教育均衡发展。</w:t>
      </w:r>
      <w:bookmarkEnd w:id="96"/>
    </w:p>
    <w:p>
      <w:pPr>
        <w:adjustRightInd w:val="0"/>
        <w:snapToGrid w:val="0"/>
        <w:spacing w:line="360" w:lineRule="auto"/>
        <w:ind w:firstLine="640" w:firstLineChars="200"/>
        <w:rPr>
          <w:rFonts w:ascii="仿宋" w:hAnsi="仿宋" w:eastAsia="仿宋" w:cs="仿宋_GB2312"/>
          <w:sz w:val="32"/>
          <w:szCs w:val="32"/>
        </w:rPr>
      </w:pPr>
      <w:r>
        <w:rPr>
          <w:rFonts w:hint="eastAsia" w:ascii="仿宋" w:hAnsi="仿宋" w:eastAsia="仿宋" w:cs="仿宋_GB2312"/>
          <w:sz w:val="32"/>
          <w:szCs w:val="32"/>
        </w:rPr>
        <w:t>加强清城区与广州优质教育资源交流共享，破除优秀学校和师资的流动门槛，以省职教城建设为契机积极推进两地产教融合发展，进一步巩固广清一体化建设成果。</w:t>
      </w:r>
    </w:p>
    <w:p>
      <w:pPr>
        <w:adjustRightInd w:val="0"/>
        <w:snapToGrid w:val="0"/>
        <w:spacing w:line="600" w:lineRule="exact"/>
        <w:ind w:firstLine="643" w:firstLineChars="200"/>
        <w:rPr>
          <w:rFonts w:ascii="仿宋" w:hAnsi="仿宋" w:eastAsia="仿宋" w:cs="仿宋_GB2312"/>
          <w:sz w:val="32"/>
          <w:szCs w:val="32"/>
        </w:rPr>
      </w:pPr>
      <w:r>
        <w:rPr>
          <w:rFonts w:hint="eastAsia" w:ascii="仿宋" w:hAnsi="仿宋" w:eastAsia="仿宋" w:cs="仿宋_GB2312"/>
          <w:b/>
          <w:bCs/>
          <w:sz w:val="32"/>
          <w:szCs w:val="32"/>
        </w:rPr>
        <w:t>加快推进义务教育资源共享。</w:t>
      </w:r>
      <w:r>
        <w:rPr>
          <w:rFonts w:hint="eastAsia" w:ascii="仿宋" w:hAnsi="仿宋" w:eastAsia="仿宋" w:cs="Times New Roman"/>
          <w:sz w:val="32"/>
          <w:szCs w:val="32"/>
        </w:rPr>
        <w:t>深化与广州越秀区等地名校结对帮扶，探索多校协同、区域组团、同学段联盟、跨学段联合等多种办学模式，加快发展城乡教育联合体。探索多学科创新融合教学实践，实现两地中小学数字化课程资源的共建共享，促进清城区信息技术与教育教学创新融合发展。通过置换岗位、挂职、结对、专题研讨、培训等方式具体开展教育区域管理、学校管理、教育教学、教科研、教师专业发展等方面交流，促进清城区教师职业道德水平和业务能力的提升。</w:t>
      </w:r>
    </w:p>
    <w:p>
      <w:pPr>
        <w:adjustRightInd w:val="0"/>
        <w:snapToGrid w:val="0"/>
        <w:spacing w:line="360" w:lineRule="auto"/>
        <w:ind w:firstLine="643" w:firstLineChars="200"/>
        <w:rPr>
          <w:rFonts w:ascii="仿宋" w:hAnsi="仿宋" w:eastAsia="仿宋" w:cs="仿宋_GB2312"/>
          <w:sz w:val="32"/>
          <w:szCs w:val="32"/>
        </w:rPr>
      </w:pPr>
      <w:r>
        <w:rPr>
          <w:rFonts w:hint="eastAsia" w:ascii="仿宋" w:hAnsi="仿宋" w:eastAsia="仿宋" w:cs="仿宋_GB2312"/>
          <w:b/>
          <w:bCs/>
          <w:sz w:val="32"/>
          <w:szCs w:val="32"/>
        </w:rPr>
        <w:t>加快推进广东省职业教育城规划建设与产教融合。</w:t>
      </w:r>
      <w:r>
        <w:rPr>
          <w:rFonts w:hint="eastAsia" w:ascii="仿宋" w:hAnsi="仿宋" w:eastAsia="仿宋" w:cs="仿宋_GB2312"/>
          <w:sz w:val="32"/>
          <w:szCs w:val="32"/>
        </w:rPr>
        <w:t>紧密地将广东省职业教育城建设融入广清一体化的发展格局中，全面提升广东省职业教育城的区位优势，加快与广东省优质高校对接，提升教育水平，扩大招生规模，高标准建设中国职业教育高地。推进省职教城与广清城际轨道交通、城市主要节点的道路对接，完善省职教城周边的医疗、商业等配套设施。依托清远星谷等平台，重点推进省职教城的产教融合，建立大学生创业和创业项目孵化联动机制，共建创新性和实战型的实训中心，对接产业园技术人才需求，创新打造校企合作的人才培养流程，为广清一体化和粤港澳大湾区的高质量发展提供人才支撑。同时，支持清远根据当地主导产业，建设特色大学和应用型本科院校，持续推进高等教育资源的共建共享，引导中山大学、华南农业大学等高校在清远设立校区，支持广东金融学院清远校区的建设。</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jc w:val="center"/>
        </w:trPr>
        <w:tc>
          <w:tcPr>
            <w:tcW w:w="5000" w:type="pct"/>
            <w:tcBorders>
              <w:top w:val="single" w:color="auto" w:sz="4" w:space="0"/>
              <w:left w:val="single" w:color="auto" w:sz="4" w:space="0"/>
              <w:bottom w:val="single" w:color="auto" w:sz="4" w:space="0"/>
              <w:right w:val="single" w:color="auto" w:sz="4" w:space="0"/>
            </w:tcBorders>
            <w:vAlign w:val="center"/>
          </w:tcPr>
          <w:p>
            <w:pPr>
              <w:widowControl/>
              <w:pBdr>
                <w:bottom w:val="single" w:color="auto" w:sz="4" w:space="1"/>
              </w:pBdr>
              <w:jc w:val="center"/>
              <w:rPr>
                <w:rFonts w:ascii="Calibri" w:hAnsi="Calibri" w:eastAsia="仿宋_GB2312" w:cs="Times New Roman"/>
                <w:b/>
                <w:bCs/>
                <w:color w:val="000000"/>
                <w:kern w:val="0"/>
                <w:sz w:val="28"/>
                <w:szCs w:val="28"/>
              </w:rPr>
            </w:pPr>
            <w:r>
              <w:rPr>
                <w:rFonts w:ascii="Calibri" w:hAnsi="Calibri" w:eastAsia="仿宋_GB2312" w:cs="Times New Roman"/>
                <w:b/>
                <w:bCs/>
                <w:color w:val="000000"/>
                <w:kern w:val="0"/>
                <w:sz w:val="28"/>
                <w:szCs w:val="28"/>
              </w:rPr>
              <w:t>专栏   清城区省职教城建设项目</w:t>
            </w:r>
          </w:p>
          <w:p>
            <w:pPr>
              <w:adjustRightInd w:val="0"/>
              <w:snapToGrid w:val="0"/>
              <w:spacing w:line="360" w:lineRule="auto"/>
              <w:ind w:firstLine="1124" w:firstLineChars="400"/>
              <w:rPr>
                <w:rFonts w:ascii="Calibri" w:hAnsi="Calibri" w:eastAsia="仿宋_GB2312" w:cs="Times New Roman"/>
                <w:b/>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5000" w:type="pct"/>
            <w:tcBorders>
              <w:top w:val="single" w:color="auto" w:sz="4" w:space="0"/>
              <w:left w:val="single" w:color="auto" w:sz="4" w:space="0"/>
              <w:right w:val="single" w:color="auto" w:sz="4" w:space="0"/>
            </w:tcBorders>
            <w:vAlign w:val="center"/>
          </w:tcPr>
          <w:p>
            <w:pPr>
              <w:adjustRightInd w:val="0"/>
              <w:snapToGrid w:val="0"/>
              <w:spacing w:line="360" w:lineRule="auto"/>
              <w:ind w:firstLine="422" w:firstLineChars="200"/>
              <w:jc w:val="left"/>
              <w:rPr>
                <w:rFonts w:ascii="仿宋" w:hAnsi="仿宋" w:eastAsia="仿宋" w:cs="Times New Roman"/>
                <w:bCs/>
                <w:color w:val="000000"/>
                <w:szCs w:val="21"/>
              </w:rPr>
            </w:pPr>
            <w:r>
              <w:rPr>
                <w:rFonts w:hint="eastAsia" w:ascii="仿宋" w:hAnsi="仿宋" w:eastAsia="仿宋" w:cs="Times New Roman"/>
                <w:b/>
                <w:color w:val="000000"/>
                <w:szCs w:val="21"/>
              </w:rPr>
              <w:t>总体目标：</w:t>
            </w:r>
            <w:r>
              <w:rPr>
                <w:rFonts w:hint="eastAsia" w:ascii="仿宋" w:hAnsi="仿宋" w:eastAsia="仿宋" w:cs="Times New Roman"/>
                <w:bCs/>
                <w:color w:val="000000"/>
                <w:szCs w:val="21"/>
              </w:rPr>
              <w:t>将打造国家职业教育高地，为“大湾区”和“先行区”高质量发展提供人才保障，为广东高质量发展提供人才支撑。</w:t>
            </w:r>
          </w:p>
          <w:p>
            <w:pPr>
              <w:adjustRightInd w:val="0"/>
              <w:snapToGrid w:val="0"/>
              <w:spacing w:line="360" w:lineRule="auto"/>
              <w:ind w:firstLine="422" w:firstLineChars="200"/>
              <w:jc w:val="left"/>
              <w:rPr>
                <w:rFonts w:ascii="仿宋" w:hAnsi="仿宋" w:eastAsia="仿宋" w:cs="Times New Roman"/>
                <w:bCs/>
                <w:color w:val="000000"/>
                <w:szCs w:val="21"/>
              </w:rPr>
            </w:pPr>
            <w:r>
              <w:rPr>
                <w:rFonts w:hint="eastAsia" w:ascii="仿宋" w:hAnsi="仿宋" w:eastAsia="仿宋" w:cs="Times New Roman"/>
                <w:b/>
                <w:color w:val="000000"/>
                <w:szCs w:val="21"/>
              </w:rPr>
              <w:t>规划区位：</w:t>
            </w:r>
            <w:r>
              <w:rPr>
                <w:rFonts w:hint="eastAsia" w:ascii="仿宋" w:hAnsi="仿宋" w:eastAsia="仿宋" w:cs="Times New Roman"/>
                <w:bCs/>
                <w:color w:val="000000"/>
                <w:szCs w:val="21"/>
              </w:rPr>
              <w:t>位于清远市中心城区东北，处在城市与自然交接处，北山南水，自然景观条件良好，是一处教书育人的好场所。</w:t>
            </w:r>
          </w:p>
          <w:p>
            <w:pPr>
              <w:adjustRightInd w:val="0"/>
              <w:snapToGrid w:val="0"/>
              <w:spacing w:line="360" w:lineRule="auto"/>
              <w:ind w:firstLine="422" w:firstLineChars="200"/>
              <w:jc w:val="left"/>
              <w:rPr>
                <w:rFonts w:ascii="仿宋" w:hAnsi="仿宋" w:eastAsia="仿宋" w:cs="Times New Roman"/>
                <w:bCs/>
                <w:color w:val="000000"/>
                <w:szCs w:val="21"/>
              </w:rPr>
            </w:pPr>
            <w:r>
              <w:rPr>
                <w:rFonts w:hint="eastAsia" w:ascii="仿宋" w:hAnsi="仿宋" w:eastAsia="仿宋" w:cs="Times New Roman"/>
                <w:b/>
                <w:color w:val="000000"/>
                <w:szCs w:val="21"/>
              </w:rPr>
              <w:t>首期工程：</w:t>
            </w:r>
            <w:r>
              <w:rPr>
                <w:rFonts w:hint="eastAsia" w:ascii="仿宋" w:hAnsi="仿宋" w:eastAsia="仿宋" w:cs="Times New Roman"/>
                <w:bCs/>
                <w:color w:val="000000"/>
                <w:szCs w:val="21"/>
              </w:rPr>
              <w:t>省职教城首期工程包含进驻广东交通职业技术学院、广东建设职业技术学院、广东科贸职业学院、广东工程职业技术学院和广东财贸职业学院院校一期工程的主体建筑61栋及校园市政附属工程，总建筑面积57.5万平方米，总投资32.6亿元，已于2019年9月底建成交付使用，五校开学迎来约2万名首批学生。</w:t>
            </w:r>
          </w:p>
          <w:p>
            <w:pPr>
              <w:adjustRightInd w:val="0"/>
              <w:snapToGrid w:val="0"/>
              <w:spacing w:line="360" w:lineRule="auto"/>
              <w:ind w:firstLine="422" w:firstLineChars="200"/>
              <w:jc w:val="left"/>
              <w:rPr>
                <w:rFonts w:ascii="仿宋" w:hAnsi="仿宋" w:eastAsia="仿宋" w:cs="Times New Roman"/>
                <w:bCs/>
                <w:color w:val="000000"/>
                <w:szCs w:val="21"/>
              </w:rPr>
            </w:pPr>
            <w:r>
              <w:rPr>
                <w:rFonts w:hint="eastAsia" w:ascii="仿宋" w:hAnsi="仿宋" w:eastAsia="仿宋" w:cs="Times New Roman"/>
                <w:b/>
                <w:color w:val="000000"/>
                <w:szCs w:val="21"/>
              </w:rPr>
              <w:t>二期工程：</w:t>
            </w:r>
            <w:r>
              <w:rPr>
                <w:rFonts w:hint="eastAsia" w:ascii="仿宋" w:hAnsi="仿宋" w:eastAsia="仿宋" w:cs="Times New Roman"/>
                <w:bCs/>
                <w:color w:val="000000"/>
                <w:szCs w:val="21"/>
              </w:rPr>
              <w:t>包括五所学校二三期规划的主体建筑106栋及校园市政附属工程。总建筑面积约112.3万平方米，总投资约54.3亿元。先行项目已于2020年9月底建成并交付使用，五校陆续新增约2万名学生。后行项目建设中。</w:t>
            </w:r>
          </w:p>
          <w:p>
            <w:pPr>
              <w:adjustRightInd w:val="0"/>
              <w:snapToGrid w:val="0"/>
              <w:spacing w:line="360" w:lineRule="auto"/>
              <w:ind w:firstLine="422" w:firstLineChars="200"/>
              <w:jc w:val="left"/>
              <w:rPr>
                <w:rFonts w:ascii="仿宋" w:hAnsi="仿宋" w:eastAsia="仿宋" w:cs="Times New Roman"/>
                <w:bCs/>
                <w:color w:val="000000"/>
                <w:szCs w:val="21"/>
              </w:rPr>
            </w:pPr>
            <w:r>
              <w:rPr>
                <w:rFonts w:hint="eastAsia" w:ascii="仿宋" w:hAnsi="仿宋" w:eastAsia="仿宋" w:cs="Times New Roman"/>
                <w:b/>
                <w:color w:val="000000"/>
                <w:szCs w:val="21"/>
              </w:rPr>
              <w:t>三期工程：</w:t>
            </w:r>
            <w:r>
              <w:rPr>
                <w:rFonts w:hint="eastAsia" w:ascii="仿宋" w:hAnsi="仿宋" w:eastAsia="仿宋" w:cs="Times New Roman"/>
                <w:bCs/>
                <w:color w:val="000000"/>
                <w:szCs w:val="21"/>
              </w:rPr>
              <w:t>拟按照“整体谋划，分期建设”的思路，分先行组团、中期组团和远景组团三步建设，到“十四五”末期，省职教城内将建成高校22所，在校大学生将达26万人。</w:t>
            </w:r>
          </w:p>
          <w:p>
            <w:pPr>
              <w:adjustRightInd w:val="0"/>
              <w:snapToGrid w:val="0"/>
              <w:spacing w:line="360" w:lineRule="auto"/>
              <w:ind w:firstLine="643"/>
              <w:jc w:val="left"/>
              <w:rPr>
                <w:rFonts w:ascii="仿宋" w:hAnsi="仿宋" w:eastAsia="仿宋" w:cs="Times New Roman"/>
                <w:bCs/>
                <w:color w:val="000000"/>
                <w:szCs w:val="21"/>
              </w:rPr>
            </w:pPr>
          </w:p>
        </w:tc>
      </w:tr>
    </w:tbl>
    <w:p>
      <w:pPr>
        <w:adjustRightInd w:val="0"/>
        <w:snapToGrid w:val="0"/>
        <w:spacing w:line="360" w:lineRule="auto"/>
        <w:rPr>
          <w:rFonts w:ascii="仿宋" w:hAnsi="仿宋" w:eastAsia="仿宋" w:cs="仿宋_GB2312"/>
          <w:sz w:val="32"/>
          <w:szCs w:val="32"/>
        </w:rPr>
      </w:pPr>
    </w:p>
    <w:p>
      <w:pPr>
        <w:pStyle w:val="4"/>
        <w:adjustRightInd w:val="0"/>
        <w:snapToGrid w:val="0"/>
        <w:spacing w:line="360" w:lineRule="auto"/>
        <w:ind w:firstLine="640" w:firstLineChars="200"/>
        <w:rPr>
          <w:rFonts w:ascii="仿宋" w:hAnsi="仿宋" w:eastAsia="仿宋"/>
          <w:shd w:val="clear" w:color="auto" w:fill="FFFFFF"/>
        </w:rPr>
      </w:pPr>
      <w:r>
        <w:fldChar w:fldCharType="begin"/>
      </w:r>
      <w:r>
        <w:instrText xml:space="preserve"> HYPERLINK \l "_Toc50421897" </w:instrText>
      </w:r>
      <w:r>
        <w:fldChar w:fldCharType="separate"/>
      </w:r>
      <w:bookmarkStart w:id="97" w:name="_Toc70236903"/>
      <w:r>
        <w:rPr>
          <w:rFonts w:hint="eastAsia" w:ascii="仿宋" w:hAnsi="仿宋" w:eastAsia="仿宋"/>
          <w:shd w:val="clear" w:color="auto" w:fill="FFFFFF"/>
        </w:rPr>
        <w:t>（二）推进基本医疗卫生服务均等化</w:t>
      </w:r>
      <w:r>
        <w:rPr>
          <w:rFonts w:hint="eastAsia" w:ascii="仿宋" w:hAnsi="仿宋" w:eastAsia="仿宋"/>
          <w:shd w:val="clear" w:color="auto" w:fill="FFFFFF"/>
        </w:rPr>
        <w:fldChar w:fldCharType="end"/>
      </w:r>
      <w:r>
        <w:rPr>
          <w:rFonts w:hint="eastAsia" w:ascii="仿宋" w:hAnsi="仿宋" w:eastAsia="仿宋"/>
          <w:shd w:val="clear" w:color="auto" w:fill="FFFFFF"/>
        </w:rPr>
        <w:t>，强化医疗卫生保障。</w:t>
      </w:r>
      <w:bookmarkEnd w:id="97"/>
    </w:p>
    <w:p>
      <w:pPr>
        <w:adjustRightInd w:val="0"/>
        <w:snapToGrid w:val="0"/>
        <w:spacing w:line="360" w:lineRule="auto"/>
        <w:ind w:firstLine="660"/>
        <w:rPr>
          <w:rFonts w:ascii="仿宋" w:hAnsi="仿宋" w:eastAsia="仿宋" w:cs="仿宋_GB2312"/>
          <w:sz w:val="32"/>
          <w:szCs w:val="32"/>
        </w:rPr>
      </w:pPr>
      <w:r>
        <w:rPr>
          <w:rFonts w:hint="eastAsia" w:ascii="仿宋" w:hAnsi="仿宋" w:eastAsia="仿宋" w:cs="仿宋_GB2312"/>
          <w:sz w:val="32"/>
          <w:szCs w:val="32"/>
        </w:rPr>
        <w:t>探索广州市三甲医院与清城区医院以“一对一，补弱项”的原则建立医联体，争取广州综合医院、示范性卫生学校等到清城区开设分院，探索推行医生跨市执业，医保异地结算，两市电子病历共享等。充分利用越秀清城对口帮扶的契机，共同推进清城区中医院升级改造和清城区疾控中心新建项目设计建设，探索“一院一特色”、区域联合共建的特色专科建设新模式，加强与越秀区儿童医院、妇幼保健院等重点专科医院开展结对帮扶，通过“一院一专科”的帮扶模式，共建清城区人民医院新院的儿科、妇产科等特色重点学科。鼓励区级医院医生利用广清帮扶机制，到广州市对口帮扶单位进修学习。</w:t>
      </w:r>
    </w:p>
    <w:p>
      <w:pPr>
        <w:pStyle w:val="4"/>
        <w:adjustRightInd w:val="0"/>
        <w:snapToGrid w:val="0"/>
        <w:spacing w:line="360" w:lineRule="auto"/>
        <w:ind w:firstLine="640" w:firstLineChars="200"/>
        <w:rPr>
          <w:rFonts w:ascii="仿宋" w:hAnsi="仿宋" w:eastAsia="仿宋"/>
          <w:shd w:val="clear" w:color="auto" w:fill="FFFFFF"/>
        </w:rPr>
      </w:pPr>
      <w:r>
        <w:fldChar w:fldCharType="begin"/>
      </w:r>
      <w:r>
        <w:instrText xml:space="preserve"> HYPERLINK \l "_Toc50421898" </w:instrText>
      </w:r>
      <w:r>
        <w:fldChar w:fldCharType="separate"/>
      </w:r>
      <w:bookmarkStart w:id="98" w:name="_Toc70236904"/>
      <w:r>
        <w:rPr>
          <w:rFonts w:hint="eastAsia" w:ascii="仿宋" w:hAnsi="仿宋" w:eastAsia="仿宋"/>
          <w:shd w:val="clear" w:color="auto" w:fill="FFFFFF"/>
        </w:rPr>
        <w:t>（三）加快社保一体化改革</w:t>
      </w:r>
      <w:r>
        <w:rPr>
          <w:rFonts w:hint="eastAsia" w:ascii="仿宋" w:hAnsi="仿宋" w:eastAsia="仿宋"/>
          <w:shd w:val="clear" w:color="auto" w:fill="FFFFFF"/>
        </w:rPr>
        <w:fldChar w:fldCharType="end"/>
      </w:r>
      <w:r>
        <w:rPr>
          <w:rFonts w:hint="eastAsia" w:ascii="仿宋" w:hAnsi="仿宋" w:eastAsia="仿宋"/>
          <w:shd w:val="clear" w:color="auto" w:fill="FFFFFF"/>
        </w:rPr>
        <w:t>，健全社会保障体系。</w:t>
      </w:r>
      <w:bookmarkEnd w:id="98"/>
    </w:p>
    <w:p>
      <w:pPr>
        <w:adjustRightInd w:val="0"/>
        <w:snapToGrid w:val="0"/>
        <w:spacing w:line="360" w:lineRule="auto"/>
        <w:rPr>
          <w:rFonts w:ascii="仿宋" w:hAnsi="仿宋" w:eastAsia="仿宋"/>
          <w:sz w:val="32"/>
          <w:szCs w:val="32"/>
          <w:shd w:val="clear" w:color="auto" w:fill="FFFFFF"/>
        </w:rPr>
      </w:pPr>
      <w:r>
        <w:rPr>
          <w:rFonts w:hint="eastAsia" w:ascii="仿宋" w:hAnsi="仿宋" w:eastAsia="仿宋"/>
          <w:sz w:val="32"/>
          <w:szCs w:val="32"/>
          <w:shd w:val="clear" w:color="auto" w:fill="FFFFFF"/>
        </w:rPr>
        <w:t xml:space="preserve">    加快构建普惠共享型社保体系，落实养老保险、工伤保险、失业保险省级统筹。着力扩大社会保险覆盖面，积极推进全面参保计划，落实社保精准扶贫，保证困难群体应保尽保、应发尽发。加快推进公共租赁住房项目建设，增加保障性住房供给。加快完善以城乡低保救助为基础的社会救助体系，提高低保、特困供养、残疾人“两项补贴”和孤儿基本生活保障标准，提高社会救助水平，推动慈善事业健康发展。积极发展社会公益、慈善事业，促进慈善组织、志愿服务组织等社会服务机构健康有序发展。</w:t>
      </w:r>
    </w:p>
    <w:p>
      <w:pPr>
        <w:pStyle w:val="4"/>
        <w:adjustRightInd w:val="0"/>
        <w:snapToGrid w:val="0"/>
        <w:spacing w:line="360" w:lineRule="auto"/>
        <w:ind w:firstLine="643" w:firstLineChars="200"/>
        <w:rPr>
          <w:rFonts w:ascii="仿宋" w:hAnsi="仿宋" w:eastAsia="仿宋"/>
          <w:shd w:val="clear" w:color="auto" w:fill="FFFFFF"/>
        </w:rPr>
      </w:pPr>
      <w:bookmarkStart w:id="99" w:name="_Toc70236905"/>
      <w:r>
        <w:rPr>
          <w:rFonts w:hint="eastAsia" w:ascii="仿宋" w:hAnsi="仿宋" w:eastAsia="仿宋"/>
          <w:shd w:val="clear" w:color="auto" w:fill="FFFFFF"/>
        </w:rPr>
        <w:t>（四）加强文化资源交流共享，完善现代公共文化服务体系。</w:t>
      </w:r>
      <w:bookmarkEnd w:id="99"/>
    </w:p>
    <w:p>
      <w:pPr>
        <w:adjustRightInd w:val="0"/>
        <w:snapToGrid w:val="0"/>
        <w:spacing w:line="360" w:lineRule="auto"/>
        <w:ind w:firstLine="640" w:firstLineChars="200"/>
        <w:rPr>
          <w:rFonts w:ascii="仿宋" w:hAnsi="仿宋" w:eastAsia="仿宋"/>
          <w:sz w:val="32"/>
          <w:szCs w:val="32"/>
          <w:shd w:val="clear" w:color="auto" w:fill="FFFFFF"/>
        </w:rPr>
      </w:pPr>
      <w:r>
        <w:rPr>
          <w:rFonts w:hint="eastAsia" w:ascii="仿宋" w:hAnsi="仿宋" w:eastAsia="仿宋"/>
          <w:sz w:val="32"/>
          <w:szCs w:val="32"/>
          <w:shd w:val="clear" w:color="auto" w:fill="FFFFFF"/>
        </w:rPr>
        <w:t>加强与广州等其他城市的文化交流合作，吸引优质文化企业赴清远开设展览、文化交流等活动，提高清远市文化影响力。根据人口发展趋势和常住人口分布情况，构建层次分明、布局合理、功能完善的公共体育设施配置体系。适度超前预留社区体育设施用地，鼓励利用闲置低效用地、公共绿地等建设社区体育公园、小足球场等各类基层体育设施，形成城市“十分钟体育圈”。强化公共文化产品生产和服务供给，建立群众文化需求反馈机制，探索“菜单式”公共文化服务新模式。</w:t>
      </w:r>
    </w:p>
    <w:p>
      <w:pPr>
        <w:pStyle w:val="3"/>
        <w:adjustRightInd w:val="0"/>
        <w:snapToGrid w:val="0"/>
        <w:spacing w:line="360" w:lineRule="auto"/>
        <w:ind w:firstLine="643" w:firstLineChars="200"/>
        <w:rPr>
          <w:rFonts w:ascii="黑体" w:hAnsi="黑体" w:eastAsia="黑体"/>
          <w:sz w:val="32"/>
          <w:szCs w:val="32"/>
          <w:shd w:val="clear" w:color="auto" w:fill="FFFFFF"/>
        </w:rPr>
      </w:pPr>
      <w:bookmarkStart w:id="100" w:name="_Toc70236906"/>
      <w:r>
        <w:rPr>
          <w:rFonts w:hint="eastAsia" w:ascii="黑体" w:hAnsi="黑体" w:eastAsia="黑体"/>
          <w:sz w:val="32"/>
          <w:szCs w:val="32"/>
          <w:shd w:val="clear" w:color="auto" w:fill="FFFFFF"/>
        </w:rPr>
        <w:t>九、优化营商环境，提升市场一体化水平。</w:t>
      </w:r>
      <w:bookmarkEnd w:id="100"/>
    </w:p>
    <w:p>
      <w:pPr>
        <w:pStyle w:val="4"/>
        <w:adjustRightInd w:val="0"/>
        <w:snapToGrid w:val="0"/>
        <w:spacing w:line="360" w:lineRule="auto"/>
        <w:ind w:firstLine="643" w:firstLineChars="200"/>
        <w:rPr>
          <w:rFonts w:ascii="仿宋" w:hAnsi="仿宋" w:eastAsia="仿宋"/>
          <w:shd w:val="clear" w:color="auto" w:fill="FFFFFF"/>
        </w:rPr>
      </w:pPr>
      <w:bookmarkStart w:id="101" w:name="_Toc70236907"/>
      <w:r>
        <w:rPr>
          <w:rFonts w:hint="eastAsia" w:ascii="仿宋" w:hAnsi="仿宋" w:eastAsia="仿宋"/>
        </w:rPr>
        <w:t>（一）提高政策协同水平，</w:t>
      </w:r>
      <w:r>
        <w:rPr>
          <w:rFonts w:hint="eastAsia" w:ascii="仿宋" w:hAnsi="仿宋" w:eastAsia="仿宋"/>
          <w:shd w:val="clear" w:color="auto" w:fill="FFFFFF"/>
        </w:rPr>
        <w:t>打造具有竞争力的营商环境。</w:t>
      </w:r>
      <w:bookmarkEnd w:id="101"/>
    </w:p>
    <w:p>
      <w:pPr>
        <w:pStyle w:val="25"/>
        <w:adjustRightInd w:val="0"/>
        <w:snapToGrid w:val="0"/>
        <w:spacing w:line="360" w:lineRule="auto"/>
        <w:ind w:firstLine="643"/>
        <w:rPr>
          <w:rFonts w:ascii="仿宋" w:hAnsi="仿宋" w:eastAsia="仿宋"/>
          <w:sz w:val="32"/>
          <w:szCs w:val="32"/>
        </w:rPr>
      </w:pPr>
      <w:r>
        <w:rPr>
          <w:rFonts w:hint="eastAsia" w:ascii="仿宋" w:hAnsi="仿宋" w:eastAsia="仿宋"/>
          <w:b/>
          <w:bCs/>
          <w:sz w:val="32"/>
          <w:szCs w:val="32"/>
        </w:rPr>
        <w:t>加强顶层设计，提升法治环境建设水平。</w:t>
      </w:r>
      <w:r>
        <w:rPr>
          <w:rFonts w:hint="eastAsia" w:ascii="仿宋" w:hAnsi="仿宋" w:eastAsia="仿宋"/>
          <w:sz w:val="32"/>
          <w:szCs w:val="32"/>
        </w:rPr>
        <w:t>建立区域性营商环境指标体系，以建设国家城乡融合发展试验区为契机，推进清城区与清远各地区及珠三角城市群在人才、招商引资、产业等方面政策互融互通。提高政策协同水平，以价值链分布细化政策，加强区域内在产业政策、技术贸易领域的合作、对接和互认。</w:t>
      </w:r>
    </w:p>
    <w:p>
      <w:pPr>
        <w:pStyle w:val="25"/>
        <w:adjustRightInd w:val="0"/>
        <w:snapToGrid w:val="0"/>
        <w:spacing w:line="360" w:lineRule="auto"/>
        <w:ind w:firstLine="643"/>
        <w:rPr>
          <w:rFonts w:ascii="仿宋" w:hAnsi="仿宋" w:eastAsia="仿宋"/>
          <w:sz w:val="32"/>
          <w:szCs w:val="32"/>
        </w:rPr>
      </w:pPr>
      <w:r>
        <w:rPr>
          <w:rFonts w:hint="eastAsia" w:ascii="仿宋" w:hAnsi="仿宋" w:eastAsia="仿宋"/>
          <w:b/>
          <w:bCs/>
          <w:sz w:val="32"/>
          <w:szCs w:val="32"/>
        </w:rPr>
        <w:t>全面优化产业生态。</w:t>
      </w:r>
      <w:r>
        <w:rPr>
          <w:rFonts w:hint="eastAsia" w:ascii="仿宋" w:hAnsi="仿宋" w:eastAsia="仿宋"/>
          <w:sz w:val="32"/>
          <w:szCs w:val="32"/>
        </w:rPr>
        <w:t>打造区域内各产业、各企业之间共生、互生、再生的产业生态体系，创造新的市场空间，满足企业发展需求，推动企业实现互利共赢。以产业园区建设形成产业集群，围绕龙头企业吸引集聚区域内优质上下游配套企业，搭建汇集科研、载体、人才、资本、政策、生产性服务业等要素于一体的共生产业生态圈。充分利用互联网信息技术，搭建大数据平台，支持企业共享数据信息，分享自身价值，扩大市场，降低成本，营造互利互生产业生态。强化技术创新，加速区域内企业资源流通，优化净化产业质量，积极推动产学研一体化和产业成果转化，打造有利于新兴产业高质量发展的再生产业生态系统。</w:t>
      </w:r>
    </w:p>
    <w:p>
      <w:pPr>
        <w:pStyle w:val="25"/>
        <w:adjustRightInd w:val="0"/>
        <w:snapToGrid w:val="0"/>
        <w:spacing w:line="360" w:lineRule="auto"/>
        <w:ind w:firstLine="643"/>
        <w:rPr>
          <w:rFonts w:ascii="仿宋" w:hAnsi="仿宋" w:eastAsia="仿宋"/>
          <w:sz w:val="32"/>
          <w:szCs w:val="32"/>
        </w:rPr>
      </w:pPr>
      <w:r>
        <w:rPr>
          <w:rFonts w:hint="eastAsia" w:ascii="仿宋" w:hAnsi="仿宋" w:eastAsia="仿宋"/>
          <w:b/>
          <w:bCs/>
          <w:sz w:val="32"/>
          <w:szCs w:val="32"/>
        </w:rPr>
        <w:t>健全政企沟通联系机制，强化政企沟通联络。</w:t>
      </w:r>
      <w:r>
        <w:rPr>
          <w:rFonts w:hint="eastAsia" w:ascii="仿宋" w:hAnsi="仿宋" w:eastAsia="仿宋"/>
          <w:sz w:val="32"/>
          <w:szCs w:val="32"/>
        </w:rPr>
        <w:t>建立政企年度协商机制，以问题和需求为导向，了解企业发展现状，解决企业发展问题。建立政府部门与民营企业直通平台，贯彻落实优化民营经济发展环境的各项举措。加强企业和行业协会商会的常态化联系，完善企业服务体系，加快建立营商环境诉求受理和分级办理“一张网”。完善政务服务热线建设，规范政务服务热线受理、专班、督办、反馈、评价流程，及时回应企业诉求。</w:t>
      </w:r>
    </w:p>
    <w:p>
      <w:pPr>
        <w:pStyle w:val="4"/>
        <w:adjustRightInd w:val="0"/>
        <w:snapToGrid w:val="0"/>
        <w:spacing w:line="360" w:lineRule="auto"/>
        <w:ind w:firstLine="643" w:firstLineChars="200"/>
        <w:rPr>
          <w:rFonts w:ascii="仿宋" w:hAnsi="仿宋" w:eastAsia="仿宋"/>
        </w:rPr>
      </w:pPr>
      <w:bookmarkStart w:id="102" w:name="_Toc70236908"/>
      <w:r>
        <w:rPr>
          <w:rFonts w:hint="eastAsia" w:ascii="仿宋" w:hAnsi="仿宋" w:eastAsia="仿宋"/>
        </w:rPr>
        <w:t>（二）提升市场一体化水平，共同开拓国内外市场。</w:t>
      </w:r>
      <w:bookmarkEnd w:id="102"/>
    </w:p>
    <w:p>
      <w:pPr>
        <w:pStyle w:val="25"/>
        <w:adjustRightInd w:val="0"/>
        <w:snapToGrid w:val="0"/>
        <w:spacing w:line="360" w:lineRule="auto"/>
        <w:ind w:firstLine="643"/>
        <w:rPr>
          <w:rFonts w:ascii="仿宋" w:hAnsi="仿宋" w:eastAsia="仿宋"/>
          <w:sz w:val="32"/>
          <w:szCs w:val="32"/>
        </w:rPr>
      </w:pPr>
      <w:r>
        <w:rPr>
          <w:rFonts w:hint="eastAsia" w:ascii="仿宋" w:hAnsi="仿宋" w:eastAsia="仿宋"/>
          <w:b/>
          <w:bCs/>
          <w:sz w:val="32"/>
          <w:szCs w:val="32"/>
        </w:rPr>
        <w:t>统一市场准入制度，</w:t>
      </w:r>
      <w:r>
        <w:rPr>
          <w:rFonts w:hint="eastAsia" w:ascii="仿宋" w:hAnsi="仿宋" w:eastAsia="仿宋"/>
          <w:b/>
          <w:bCs/>
          <w:sz w:val="32"/>
          <w:szCs w:val="32"/>
          <w:shd w:val="clear" w:color="auto" w:fill="auto"/>
        </w:rPr>
        <w:t>提升市场一体化水平</w:t>
      </w:r>
      <w:r>
        <w:rPr>
          <w:rFonts w:hint="eastAsia" w:ascii="仿宋" w:hAnsi="仿宋" w:eastAsia="仿宋"/>
          <w:b/>
          <w:bCs/>
          <w:sz w:val="32"/>
          <w:szCs w:val="32"/>
        </w:rPr>
        <w:t>。</w:t>
      </w:r>
      <w:r>
        <w:rPr>
          <w:rFonts w:hint="eastAsia" w:ascii="仿宋" w:hAnsi="仿宋" w:eastAsia="仿宋"/>
          <w:sz w:val="32"/>
          <w:szCs w:val="32"/>
        </w:rPr>
        <w:t>打造区域一体化的市场准入制度，为市场主体准入提供同质化、便利化的服务。推进企业开办经营便利化，推行线上线下“全渠道”快速商事登记、“全网办”刻章备案和新办纳税人“套餐式”服务模式，提升企业名称自主申报系统核名智能化水平，推广电子营业执照应用，放宽小微企业、个体工商户登记经营场所限制。推进企业投资项目落地便利化，统一区域审批标准，实现同一审批事项无差异办理，优化审批流程、减少报审材料、简化审批手续，缩减审批时限进一步推行“证照分离”、“多证合一”等，提高区域社会投资效率。强化事中事后监管，全面推行科学监管方式，坚持“双随机、一公开”监管，及时公开监管信息，形成监管合力。</w:t>
      </w:r>
    </w:p>
    <w:p>
      <w:pPr>
        <w:adjustRightInd w:val="0"/>
        <w:snapToGrid w:val="0"/>
        <w:spacing w:line="360" w:lineRule="auto"/>
        <w:ind w:firstLine="643" w:firstLineChars="200"/>
        <w:rPr>
          <w:rFonts w:ascii="仿宋" w:hAnsi="仿宋" w:eastAsia="仿宋"/>
          <w:sz w:val="32"/>
          <w:szCs w:val="32"/>
        </w:rPr>
      </w:pPr>
      <w:r>
        <w:rPr>
          <w:rFonts w:hint="eastAsia" w:ascii="仿宋" w:hAnsi="仿宋" w:eastAsia="仿宋"/>
          <w:b/>
          <w:bCs/>
          <w:sz w:val="32"/>
          <w:szCs w:val="32"/>
          <w:shd w:val="clear" w:color="auto" w:fill="FFFFFF"/>
        </w:rPr>
        <w:t>共同开拓国内外市场</w:t>
      </w:r>
      <w:r>
        <w:rPr>
          <w:rFonts w:hint="eastAsia" w:ascii="仿宋" w:hAnsi="仿宋" w:eastAsia="仿宋"/>
          <w:sz w:val="32"/>
          <w:szCs w:val="32"/>
          <w:shd w:val="clear" w:color="auto" w:fill="FFFFFF"/>
        </w:rPr>
        <w:t>。</w:t>
      </w:r>
      <w:r>
        <w:rPr>
          <w:rFonts w:hint="eastAsia" w:ascii="仿宋" w:hAnsi="仿宋" w:eastAsia="仿宋"/>
          <w:sz w:val="32"/>
          <w:szCs w:val="32"/>
        </w:rPr>
        <w:t>依托清远作为湘粤桂“三省通衢”、大湾区连接内地市场“经济走廊”的区位优势，拓展国内经济纵深、联通国际市场。完善优化营商环境顶层设计，建立健全优化营商环境协调研究机制，加快推进与国际规则的对接，逐步完善同国际投资和贸易通行规则相衔接的制度和服务。汇聚国际创新资源和要素，推动国际开放合作创新，提高资源配置效率。促进贸易自由和投资便利化，在金融、汽车、交通等领域放宽外资准入限制，推进外资领域“放管服”改革，开展外商投资企业知识产权保护专项行动，优化外商投资促进服务政策体系，积极引导外资投向先进制造业、现代服务业、现代农业、生态建设，完善投资促进工作体系，结合区域发展优势和特点，有针对性地开展投资促进活动。</w:t>
      </w:r>
    </w:p>
    <w:p>
      <w:pPr>
        <w:pStyle w:val="3"/>
        <w:adjustRightInd w:val="0"/>
        <w:snapToGrid w:val="0"/>
        <w:spacing w:line="360" w:lineRule="auto"/>
        <w:ind w:firstLine="643" w:firstLineChars="200"/>
        <w:rPr>
          <w:rFonts w:ascii="黑体" w:hAnsi="黑体" w:eastAsia="黑体"/>
          <w:sz w:val="32"/>
          <w:szCs w:val="32"/>
          <w:shd w:val="clear" w:color="auto" w:fill="FFFFFF"/>
        </w:rPr>
      </w:pPr>
      <w:bookmarkStart w:id="103" w:name="_Toc50421912"/>
      <w:bookmarkStart w:id="104" w:name="_Toc70236909"/>
      <w:r>
        <w:rPr>
          <w:rFonts w:hint="eastAsia" w:ascii="黑体" w:hAnsi="黑体" w:eastAsia="黑体"/>
          <w:sz w:val="32"/>
          <w:szCs w:val="32"/>
          <w:shd w:val="clear" w:color="auto" w:fill="FFFFFF"/>
        </w:rPr>
        <w:t>十、体制机制</w:t>
      </w:r>
      <w:bookmarkEnd w:id="103"/>
      <w:r>
        <w:rPr>
          <w:rFonts w:hint="eastAsia" w:ascii="黑体" w:hAnsi="黑体" w:eastAsia="黑体"/>
          <w:sz w:val="32"/>
          <w:szCs w:val="32"/>
          <w:shd w:val="clear" w:color="auto" w:fill="FFFFFF"/>
        </w:rPr>
        <w:t>创新</w:t>
      </w:r>
      <w:bookmarkEnd w:id="104"/>
    </w:p>
    <w:p>
      <w:pPr>
        <w:pStyle w:val="4"/>
        <w:adjustRightInd w:val="0"/>
        <w:snapToGrid w:val="0"/>
        <w:spacing w:line="360" w:lineRule="auto"/>
        <w:ind w:firstLine="643" w:firstLineChars="200"/>
        <w:rPr>
          <w:rFonts w:ascii="仿宋" w:hAnsi="仿宋" w:eastAsia="仿宋"/>
          <w:shd w:val="clear" w:color="auto" w:fill="FFFFFF"/>
        </w:rPr>
      </w:pPr>
      <w:bookmarkStart w:id="105" w:name="_Toc70236910"/>
      <w:r>
        <w:rPr>
          <w:rFonts w:hint="eastAsia" w:ascii="仿宋" w:hAnsi="仿宋" w:eastAsia="仿宋"/>
          <w:shd w:val="clear" w:color="auto" w:fill="FFFFFF"/>
        </w:rPr>
        <w:t>（一）完善区域政府协商合作机制。</w:t>
      </w:r>
      <w:bookmarkEnd w:id="105"/>
    </w:p>
    <w:p>
      <w:pPr>
        <w:pStyle w:val="25"/>
        <w:adjustRightInd w:val="0"/>
        <w:snapToGrid w:val="0"/>
        <w:spacing w:line="360" w:lineRule="auto"/>
        <w:ind w:firstLine="640"/>
        <w:rPr>
          <w:rFonts w:ascii="仿宋" w:hAnsi="仿宋" w:eastAsia="仿宋"/>
          <w:sz w:val="32"/>
          <w:szCs w:val="32"/>
        </w:rPr>
      </w:pPr>
      <w:r>
        <w:rPr>
          <w:rFonts w:hint="eastAsia" w:ascii="仿宋" w:hAnsi="仿宋" w:eastAsia="仿宋"/>
          <w:sz w:val="32"/>
          <w:szCs w:val="32"/>
        </w:rPr>
        <w:t>以区域协同发展为目标导向，建立政府对话协商机制和组织协调机制。秉持属地管理、资源共享、信息互通、密切协作的原则，加强政府部门的学习交流互动，定期召开政府部门合作联席会议，在产业发展、教育卫生、交通建设、物流合作等方面深化合作，充分发挥政府引导作用，强化规划、政策、机制、责任、宣传等方面的组织实施保障，提升决策科学性和政策协同性，推动跨区域合作。</w:t>
      </w:r>
    </w:p>
    <w:p>
      <w:pPr>
        <w:pStyle w:val="4"/>
        <w:adjustRightInd w:val="0"/>
        <w:snapToGrid w:val="0"/>
        <w:spacing w:line="360" w:lineRule="auto"/>
        <w:ind w:firstLine="643" w:firstLineChars="200"/>
        <w:rPr>
          <w:rFonts w:ascii="仿宋" w:hAnsi="仿宋" w:eastAsia="仿宋"/>
          <w:shd w:val="clear" w:color="auto" w:fill="FFFFFF"/>
        </w:rPr>
      </w:pPr>
      <w:bookmarkStart w:id="106" w:name="_Toc70236911"/>
      <w:r>
        <w:rPr>
          <w:rFonts w:hint="eastAsia" w:ascii="仿宋" w:hAnsi="仿宋" w:eastAsia="仿宋"/>
          <w:shd w:val="clear" w:color="auto" w:fill="FFFFFF"/>
        </w:rPr>
        <w:t>（二）创新跨区域项目合作共建机制。</w:t>
      </w:r>
      <w:bookmarkEnd w:id="106"/>
    </w:p>
    <w:p>
      <w:pPr>
        <w:pStyle w:val="25"/>
        <w:adjustRightInd w:val="0"/>
        <w:snapToGrid w:val="0"/>
        <w:spacing w:line="360" w:lineRule="auto"/>
        <w:ind w:firstLine="640"/>
        <w:rPr>
          <w:rFonts w:ascii="仿宋" w:hAnsi="仿宋" w:eastAsia="仿宋"/>
          <w:sz w:val="32"/>
          <w:szCs w:val="32"/>
        </w:rPr>
      </w:pPr>
      <w:r>
        <w:rPr>
          <w:rFonts w:hint="eastAsia" w:ascii="仿宋" w:hAnsi="仿宋" w:eastAsia="仿宋"/>
          <w:sz w:val="32"/>
          <w:szCs w:val="32"/>
        </w:rPr>
        <w:t>充分发挥自身优势，</w:t>
      </w:r>
      <w:r>
        <w:rPr>
          <w:rFonts w:ascii="仿宋" w:hAnsi="仿宋" w:eastAsia="仿宋"/>
          <w:sz w:val="32"/>
          <w:szCs w:val="32"/>
        </w:rPr>
        <w:t>加强</w:t>
      </w:r>
      <w:r>
        <w:rPr>
          <w:rFonts w:hint="eastAsia" w:ascii="仿宋" w:hAnsi="仿宋" w:eastAsia="仿宋"/>
          <w:sz w:val="32"/>
          <w:szCs w:val="32"/>
        </w:rPr>
        <w:t>跨区域项目合作，积极推动双方健全交流机制，加快产业园区管理体制创新，建立跨区域共建园区，实行独立管理，赋予共建园区人事管理自主权，采用市场化开发、运作模式，充实完善共建园区联合协调理事会制度，定时召开会议，合作各方按照合作协议建立互利共享机制。</w:t>
      </w:r>
    </w:p>
    <w:p>
      <w:pPr>
        <w:pStyle w:val="4"/>
        <w:adjustRightInd w:val="0"/>
        <w:snapToGrid w:val="0"/>
        <w:spacing w:line="360" w:lineRule="auto"/>
        <w:ind w:firstLine="643" w:firstLineChars="200"/>
        <w:rPr>
          <w:rFonts w:ascii="仿宋" w:hAnsi="仿宋" w:eastAsia="仿宋"/>
          <w:shd w:val="clear" w:color="auto" w:fill="FFFFFF"/>
        </w:rPr>
      </w:pPr>
      <w:bookmarkStart w:id="107" w:name="_Toc70236912"/>
      <w:r>
        <w:rPr>
          <w:rFonts w:hint="eastAsia" w:ascii="仿宋" w:hAnsi="仿宋" w:eastAsia="仿宋"/>
          <w:shd w:val="clear" w:color="auto" w:fill="FFFFFF"/>
        </w:rPr>
        <w:t>（三）构建跨区域协同创新机制。</w:t>
      </w:r>
      <w:bookmarkEnd w:id="107"/>
    </w:p>
    <w:p>
      <w:pPr>
        <w:pStyle w:val="25"/>
        <w:adjustRightInd w:val="0"/>
        <w:snapToGrid w:val="0"/>
        <w:spacing w:line="360" w:lineRule="auto"/>
        <w:ind w:firstLine="640"/>
        <w:rPr>
          <w:rFonts w:ascii="仿宋" w:hAnsi="仿宋" w:eastAsia="仿宋"/>
          <w:sz w:val="32"/>
          <w:szCs w:val="32"/>
        </w:rPr>
      </w:pPr>
      <w:r>
        <w:rPr>
          <w:rFonts w:ascii="仿宋" w:hAnsi="仿宋" w:eastAsia="仿宋"/>
          <w:sz w:val="32"/>
          <w:szCs w:val="32"/>
        </w:rPr>
        <w:t>搭建长期、</w:t>
      </w:r>
      <w:r>
        <w:rPr>
          <w:rFonts w:hint="eastAsia" w:ascii="仿宋" w:hAnsi="仿宋" w:eastAsia="仿宋"/>
          <w:sz w:val="32"/>
          <w:szCs w:val="32"/>
        </w:rPr>
        <w:t>可</w:t>
      </w:r>
      <w:r>
        <w:rPr>
          <w:rFonts w:ascii="仿宋" w:hAnsi="仿宋" w:eastAsia="仿宋"/>
          <w:sz w:val="32"/>
          <w:szCs w:val="32"/>
        </w:rPr>
        <w:t>融合多方需求、制度化的跨区域</w:t>
      </w:r>
      <w:r>
        <w:rPr>
          <w:rFonts w:hint="eastAsia" w:ascii="仿宋" w:hAnsi="仿宋" w:eastAsia="仿宋"/>
          <w:sz w:val="32"/>
          <w:szCs w:val="32"/>
        </w:rPr>
        <w:t>协同创新机制。完善市场机制促进创新要素自由流动和布局优化，依托广州及珠三角城市群内丰富的高校、科研机构和高技术企业优势，运用“互联网+”、大数据与云计算技术，完善创新资源共享机制、创新人才交流机制、创新成果转化机制等，加快区域内创新要素的自由流动、创新主体布局优化与创新成果高效对接。推动构建技术交易平台，建设创新成果数据库，汇集国内外科技创新成果类型及发展动向，争取与广州、深圳等的技术交易巨头合作，为技术交易提供全链条服务。推动出台重点产业协同创新链配套政策，大力支持发展战略性新兴产业和特色优势产业。</w:t>
      </w:r>
    </w:p>
    <w:p>
      <w:pPr>
        <w:pStyle w:val="4"/>
        <w:adjustRightInd w:val="0"/>
        <w:snapToGrid w:val="0"/>
        <w:spacing w:line="360" w:lineRule="auto"/>
        <w:ind w:firstLine="643" w:firstLineChars="200"/>
        <w:rPr>
          <w:rFonts w:ascii="仿宋" w:hAnsi="仿宋" w:eastAsia="仿宋"/>
          <w:shd w:val="clear" w:color="auto" w:fill="FFFFFF"/>
        </w:rPr>
      </w:pPr>
      <w:bookmarkStart w:id="108" w:name="_Toc70236913"/>
      <w:r>
        <w:rPr>
          <w:rFonts w:ascii="仿宋" w:hAnsi="仿宋" w:eastAsia="仿宋"/>
          <w:shd w:val="clear" w:color="auto" w:fill="FFFFFF"/>
        </w:rPr>
        <w:t>（</w:t>
      </w:r>
      <w:r>
        <w:rPr>
          <w:rFonts w:hint="eastAsia" w:ascii="仿宋" w:hAnsi="仿宋" w:eastAsia="仿宋"/>
          <w:shd w:val="clear" w:color="auto" w:fill="FFFFFF"/>
        </w:rPr>
        <w:t>四）完善区域利益共享合作机制。</w:t>
      </w:r>
      <w:bookmarkEnd w:id="108"/>
    </w:p>
    <w:p>
      <w:pPr>
        <w:pStyle w:val="25"/>
        <w:adjustRightInd w:val="0"/>
        <w:snapToGrid w:val="0"/>
        <w:spacing w:line="360" w:lineRule="auto"/>
        <w:ind w:firstLine="640"/>
        <w:rPr>
          <w:rFonts w:ascii="仿宋" w:hAnsi="仿宋" w:eastAsia="仿宋"/>
          <w:sz w:val="32"/>
          <w:szCs w:val="32"/>
        </w:rPr>
      </w:pPr>
      <w:r>
        <w:rPr>
          <w:rFonts w:hint="eastAsia" w:ascii="仿宋" w:hAnsi="仿宋" w:eastAsia="仿宋"/>
          <w:sz w:val="32"/>
          <w:szCs w:val="32"/>
        </w:rPr>
        <w:t>探索建立利益共享、成本共担的跨区域利益共享合作机制。探索建立公平互惠的财税利益机制，共同制定财税协同的战略目标、合作方式、合作内容、推进机制和推进步骤，实现区域税收利益综合平衡。建立纠纷化解机制，合理解决关于税收优惠、税收分成、投资支持、经营收益分配、土地政策等一系列体制机制性问题。</w:t>
      </w:r>
    </w:p>
    <w:p>
      <w:pPr>
        <w:pStyle w:val="4"/>
        <w:adjustRightInd w:val="0"/>
        <w:snapToGrid w:val="0"/>
        <w:spacing w:line="360" w:lineRule="auto"/>
        <w:ind w:firstLine="643" w:firstLineChars="200"/>
        <w:rPr>
          <w:rFonts w:ascii="仿宋" w:hAnsi="仿宋" w:eastAsia="仿宋"/>
          <w:shd w:val="clear" w:color="auto" w:fill="FFFFFF"/>
        </w:rPr>
      </w:pPr>
      <w:bookmarkStart w:id="109" w:name="_Toc70236914"/>
      <w:r>
        <w:rPr>
          <w:rFonts w:ascii="仿宋" w:hAnsi="仿宋" w:eastAsia="仿宋"/>
          <w:shd w:val="clear" w:color="auto" w:fill="FFFFFF"/>
        </w:rPr>
        <w:t>（</w:t>
      </w:r>
      <w:r>
        <w:rPr>
          <w:rFonts w:hint="eastAsia" w:ascii="仿宋" w:hAnsi="仿宋" w:eastAsia="仿宋"/>
          <w:shd w:val="clear" w:color="auto" w:fill="FFFFFF"/>
        </w:rPr>
        <w:t>五</w:t>
      </w:r>
      <w:r>
        <w:rPr>
          <w:rFonts w:ascii="仿宋" w:hAnsi="仿宋" w:eastAsia="仿宋"/>
          <w:shd w:val="clear" w:color="auto" w:fill="FFFFFF"/>
        </w:rPr>
        <w:t>）</w:t>
      </w:r>
      <w:r>
        <w:rPr>
          <w:rFonts w:hint="eastAsia" w:ascii="仿宋" w:hAnsi="仿宋" w:eastAsia="仿宋"/>
          <w:shd w:val="clear" w:color="auto" w:fill="FFFFFF"/>
        </w:rPr>
        <w:t>完善行业组织协调合作机制。</w:t>
      </w:r>
      <w:bookmarkEnd w:id="109"/>
    </w:p>
    <w:p>
      <w:pPr>
        <w:pStyle w:val="25"/>
        <w:adjustRightInd w:val="0"/>
        <w:snapToGrid w:val="0"/>
        <w:spacing w:line="360" w:lineRule="auto"/>
        <w:ind w:firstLine="640"/>
        <w:rPr>
          <w:rFonts w:ascii="仿宋" w:hAnsi="仿宋" w:eastAsia="仿宋"/>
          <w:sz w:val="32"/>
          <w:szCs w:val="32"/>
        </w:rPr>
      </w:pPr>
      <w:r>
        <w:rPr>
          <w:rFonts w:hint="eastAsia" w:ascii="仿宋" w:hAnsi="仿宋" w:eastAsia="仿宋"/>
          <w:sz w:val="32"/>
          <w:szCs w:val="32"/>
        </w:rPr>
        <w:t>充分发挥行业组织的“软联通”作用，</w:t>
      </w:r>
      <w:r>
        <w:rPr>
          <w:rFonts w:ascii="仿宋" w:hAnsi="仿宋" w:eastAsia="仿宋"/>
          <w:sz w:val="32"/>
          <w:szCs w:val="32"/>
        </w:rPr>
        <w:t>鼓励</w:t>
      </w:r>
      <w:r>
        <w:rPr>
          <w:rFonts w:hint="eastAsia" w:ascii="仿宋" w:hAnsi="仿宋" w:eastAsia="仿宋"/>
          <w:sz w:val="32"/>
          <w:szCs w:val="32"/>
        </w:rPr>
        <w:t>支持</w:t>
      </w:r>
      <w:r>
        <w:rPr>
          <w:rFonts w:ascii="仿宋" w:hAnsi="仿宋" w:eastAsia="仿宋"/>
          <w:sz w:val="32"/>
          <w:szCs w:val="32"/>
        </w:rPr>
        <w:t>行业组织、商会、产学研联盟等开展多领域跨区域合作，</w:t>
      </w:r>
      <w:r>
        <w:rPr>
          <w:rFonts w:hint="eastAsia" w:ascii="仿宋" w:hAnsi="仿宋" w:eastAsia="仿宋"/>
          <w:sz w:val="32"/>
          <w:szCs w:val="32"/>
        </w:rPr>
        <w:t>探索建立区域性行业性商会联盟，共建信息发布、市场供求、维权服务等平台，增强各地商会和民营企业的交流互访，引导民营企业围绕现代物流、文旅、生态农业等清城区优势产业搭建产业链合作平台，建立产业链并购基金，打造一批上下游紧密协同、供应链集约高效的战略性新兴产业链集群，联合行业龙头企业建立技术创新联盟，围绕各地区优势产业共建共享共用一批关键核心技术。通过跨区域行业组织合作共同开拓市场，凝聚发展合力。</w:t>
      </w:r>
    </w:p>
    <w:p>
      <w:pPr>
        <w:pStyle w:val="3"/>
        <w:adjustRightInd w:val="0"/>
        <w:snapToGrid w:val="0"/>
        <w:spacing w:line="360" w:lineRule="auto"/>
        <w:ind w:firstLine="643" w:firstLineChars="200"/>
        <w:rPr>
          <w:rFonts w:ascii="黑体" w:hAnsi="黑体" w:eastAsia="黑体"/>
          <w:sz w:val="32"/>
          <w:szCs w:val="32"/>
          <w:shd w:val="clear" w:color="auto" w:fill="FFFFFF"/>
        </w:rPr>
      </w:pPr>
      <w:bookmarkStart w:id="110" w:name="_Toc70236915"/>
      <w:r>
        <w:rPr>
          <w:rFonts w:hint="eastAsia" w:ascii="黑体" w:hAnsi="黑体" w:eastAsia="黑体"/>
          <w:sz w:val="32"/>
          <w:szCs w:val="32"/>
          <w:shd w:val="clear" w:color="auto" w:fill="FFFFFF"/>
        </w:rPr>
        <w:t>十一、保障措施</w:t>
      </w:r>
      <w:bookmarkEnd w:id="110"/>
    </w:p>
    <w:p>
      <w:pPr>
        <w:pStyle w:val="4"/>
        <w:adjustRightInd w:val="0"/>
        <w:snapToGrid w:val="0"/>
        <w:spacing w:line="360" w:lineRule="auto"/>
        <w:ind w:firstLine="643" w:firstLineChars="200"/>
        <w:rPr>
          <w:rFonts w:ascii="仿宋" w:hAnsi="仿宋" w:eastAsia="仿宋"/>
          <w:shd w:val="clear" w:color="auto" w:fill="FFFFFF"/>
        </w:rPr>
      </w:pPr>
      <w:bookmarkStart w:id="111" w:name="_Toc70236916"/>
      <w:r>
        <w:rPr>
          <w:rFonts w:hint="eastAsia" w:ascii="仿宋" w:hAnsi="仿宋" w:eastAsia="仿宋"/>
          <w:shd w:val="clear" w:color="auto" w:fill="FFFFFF"/>
        </w:rPr>
        <w:t>（一）加强组织领导</w:t>
      </w:r>
      <w:bookmarkEnd w:id="111"/>
    </w:p>
    <w:p>
      <w:pPr>
        <w:pStyle w:val="25"/>
        <w:adjustRightInd w:val="0"/>
        <w:snapToGrid w:val="0"/>
        <w:spacing w:line="360" w:lineRule="auto"/>
        <w:ind w:firstLine="640"/>
        <w:rPr>
          <w:rFonts w:ascii="仿宋" w:hAnsi="仿宋" w:eastAsia="仿宋"/>
          <w:sz w:val="32"/>
          <w:szCs w:val="32"/>
        </w:rPr>
      </w:pPr>
      <w:r>
        <w:rPr>
          <w:rFonts w:hint="eastAsia" w:ascii="仿宋" w:hAnsi="仿宋" w:eastAsia="仿宋"/>
          <w:sz w:val="32"/>
          <w:szCs w:val="32"/>
        </w:rPr>
        <w:t>以习近平新时代中国特色社会主义思想为指导，坚持党总揽全局、协调各方，增强“四个意识”，坚定“四个自信”，做到“两个维护”，充分发挥全市各级党委（党组）的领导核心作用，把党的领导贯穿规划编制实施全过程。不忘初心，牢记使命，加强党对统一战线和群团等工作的领导，最大限度凝聚全社会智慧和力量，充分发挥党员和党组织在推动规划过程中的先锋模范作用和战斗堡垒作用，形成改革发展和推动规划实施的强化合力。</w:t>
      </w:r>
    </w:p>
    <w:p>
      <w:pPr>
        <w:pStyle w:val="4"/>
        <w:adjustRightInd w:val="0"/>
        <w:snapToGrid w:val="0"/>
        <w:spacing w:line="360" w:lineRule="auto"/>
        <w:ind w:firstLine="643" w:firstLineChars="200"/>
        <w:rPr>
          <w:rFonts w:ascii="仿宋" w:hAnsi="仿宋" w:eastAsia="仿宋"/>
          <w:shd w:val="clear" w:color="auto" w:fill="FFFFFF"/>
        </w:rPr>
      </w:pPr>
      <w:bookmarkStart w:id="112" w:name="_Toc70236917"/>
      <w:r>
        <w:rPr>
          <w:rFonts w:hint="eastAsia" w:ascii="仿宋" w:hAnsi="仿宋" w:eastAsia="仿宋"/>
          <w:shd w:val="clear" w:color="auto" w:fill="FFFFFF"/>
        </w:rPr>
        <w:t>（二）加强重大项目支撑</w:t>
      </w:r>
      <w:bookmarkEnd w:id="112"/>
    </w:p>
    <w:p>
      <w:pPr>
        <w:pStyle w:val="25"/>
        <w:adjustRightInd w:val="0"/>
        <w:snapToGrid w:val="0"/>
        <w:spacing w:line="360" w:lineRule="auto"/>
        <w:ind w:firstLine="640"/>
        <w:rPr>
          <w:rFonts w:ascii="仿宋" w:hAnsi="仿宋" w:eastAsia="仿宋"/>
          <w:sz w:val="32"/>
          <w:szCs w:val="32"/>
        </w:rPr>
      </w:pPr>
      <w:r>
        <w:rPr>
          <w:rFonts w:hint="eastAsia" w:ascii="仿宋" w:hAnsi="仿宋" w:eastAsia="仿宋"/>
          <w:sz w:val="32"/>
          <w:szCs w:val="32"/>
        </w:rPr>
        <w:t>以政策为协调引导，促进要素资源集聚，储备建设一批重大项目，支撑规划顺利实施。围绕目标任务，建立健全重点项目储备库，谋划引进一批全局性、基础性、战略性重大项目，推动重大项目落地实施，强化项目建设全过程管理，保障规划目标任务如期完成。加强要素支撑，加强财政预算与规划实施的衔接协调，根据目标任务和财力情况合理安排支出，优先投向国家和省市发展规划确定的重点任务和重大工程项目，积极保障能源、水、土地、资金和人力资源等要素需求。</w:t>
      </w:r>
    </w:p>
    <w:p>
      <w:pPr>
        <w:pStyle w:val="4"/>
        <w:adjustRightInd w:val="0"/>
        <w:snapToGrid w:val="0"/>
        <w:spacing w:line="360" w:lineRule="auto"/>
        <w:ind w:firstLine="643" w:firstLineChars="200"/>
        <w:rPr>
          <w:rFonts w:ascii="仿宋" w:hAnsi="仿宋" w:eastAsia="仿宋"/>
          <w:shd w:val="clear" w:color="auto" w:fill="FFFFFF"/>
        </w:rPr>
      </w:pPr>
      <w:bookmarkStart w:id="113" w:name="_Toc70236918"/>
      <w:r>
        <w:rPr>
          <w:rFonts w:hint="eastAsia" w:ascii="仿宋" w:hAnsi="仿宋" w:eastAsia="仿宋"/>
          <w:shd w:val="clear" w:color="auto" w:fill="FFFFFF"/>
        </w:rPr>
        <w:t>（三）加大政策支持力度</w:t>
      </w:r>
      <w:bookmarkEnd w:id="113"/>
    </w:p>
    <w:p>
      <w:pPr>
        <w:pStyle w:val="25"/>
        <w:adjustRightInd w:val="0"/>
        <w:snapToGrid w:val="0"/>
        <w:spacing w:line="360" w:lineRule="auto"/>
        <w:ind w:firstLine="640"/>
        <w:rPr>
          <w:rFonts w:ascii="仿宋" w:hAnsi="仿宋" w:eastAsia="仿宋"/>
          <w:sz w:val="32"/>
          <w:szCs w:val="32"/>
        </w:rPr>
      </w:pPr>
      <w:r>
        <w:rPr>
          <w:rFonts w:hint="eastAsia" w:ascii="仿宋" w:hAnsi="仿宋" w:eastAsia="仿宋"/>
          <w:sz w:val="32"/>
          <w:szCs w:val="32"/>
        </w:rPr>
        <w:t>加强政策保障。按目标任务研究制定财税、金融、投资、产业、土地、人口、环保等相关配套政策，严格执行政策，提升区域政策协同性，强化各类政策对规划实施的保障支撑作用，推动合理配置公共资源，有效引导社会资源，支持规划有效实施。</w:t>
      </w:r>
    </w:p>
    <w:p>
      <w:pPr>
        <w:pStyle w:val="4"/>
        <w:adjustRightInd w:val="0"/>
        <w:snapToGrid w:val="0"/>
        <w:spacing w:line="360" w:lineRule="auto"/>
        <w:ind w:firstLine="643" w:firstLineChars="200"/>
        <w:rPr>
          <w:rFonts w:ascii="仿宋" w:hAnsi="仿宋" w:eastAsia="仿宋"/>
          <w:shd w:val="clear" w:color="auto" w:fill="FFFFFF"/>
        </w:rPr>
      </w:pPr>
      <w:bookmarkStart w:id="114" w:name="_Toc70236919"/>
      <w:r>
        <w:rPr>
          <w:rFonts w:hint="eastAsia" w:ascii="仿宋" w:hAnsi="仿宋" w:eastAsia="仿宋"/>
          <w:shd w:val="clear" w:color="auto" w:fill="FFFFFF"/>
        </w:rPr>
        <w:t>（四）加强监督考核</w:t>
      </w:r>
      <w:bookmarkEnd w:id="114"/>
    </w:p>
    <w:p>
      <w:pPr>
        <w:pStyle w:val="25"/>
        <w:adjustRightInd w:val="0"/>
        <w:snapToGrid w:val="0"/>
        <w:spacing w:line="360" w:lineRule="auto"/>
        <w:ind w:firstLine="640"/>
        <w:rPr>
          <w:rFonts w:ascii="仿宋" w:hAnsi="仿宋" w:eastAsia="仿宋"/>
          <w:sz w:val="32"/>
          <w:szCs w:val="32"/>
        </w:rPr>
      </w:pPr>
      <w:r>
        <w:rPr>
          <w:rFonts w:hint="eastAsia" w:ascii="仿宋" w:hAnsi="仿宋" w:eastAsia="仿宋"/>
          <w:sz w:val="32"/>
          <w:szCs w:val="32"/>
        </w:rPr>
        <w:t>建立规划实施考核制度，把规划确定的目标任务纳入绩效考核内容，将责任落实到人。完善规划年度监督检查和中期评估制度，分析实施效果，及时查找问题、解决问题，并据此适度调整规划目标和任务。加强宣传监督，完善规划实施的公共参与和民主监督机制，及时公开规划实施情况，主动接受社会监督，进一步凝聚社会共识，激发发展热情。</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98703662"/>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1F44"/>
    <w:rsid w:val="00020CA7"/>
    <w:rsid w:val="00030995"/>
    <w:rsid w:val="00056022"/>
    <w:rsid w:val="00082DBE"/>
    <w:rsid w:val="000A15FD"/>
    <w:rsid w:val="000B6381"/>
    <w:rsid w:val="000C32DB"/>
    <w:rsid w:val="0016534B"/>
    <w:rsid w:val="001A4AA7"/>
    <w:rsid w:val="001D61A2"/>
    <w:rsid w:val="00235501"/>
    <w:rsid w:val="002445F5"/>
    <w:rsid w:val="002A2A87"/>
    <w:rsid w:val="002D45D9"/>
    <w:rsid w:val="002D6141"/>
    <w:rsid w:val="002D6E84"/>
    <w:rsid w:val="002E399C"/>
    <w:rsid w:val="002E431C"/>
    <w:rsid w:val="003179FE"/>
    <w:rsid w:val="0036180F"/>
    <w:rsid w:val="0037009F"/>
    <w:rsid w:val="00393354"/>
    <w:rsid w:val="003B6E07"/>
    <w:rsid w:val="003C1F42"/>
    <w:rsid w:val="003E714D"/>
    <w:rsid w:val="003F327F"/>
    <w:rsid w:val="00402E9D"/>
    <w:rsid w:val="0042009E"/>
    <w:rsid w:val="00431391"/>
    <w:rsid w:val="004474F6"/>
    <w:rsid w:val="00464A94"/>
    <w:rsid w:val="004B2AA7"/>
    <w:rsid w:val="004C55DD"/>
    <w:rsid w:val="004D4461"/>
    <w:rsid w:val="005274EE"/>
    <w:rsid w:val="005319A3"/>
    <w:rsid w:val="005525CB"/>
    <w:rsid w:val="00556320"/>
    <w:rsid w:val="00563284"/>
    <w:rsid w:val="00581009"/>
    <w:rsid w:val="005C34A2"/>
    <w:rsid w:val="005C75F1"/>
    <w:rsid w:val="005D43B8"/>
    <w:rsid w:val="00653725"/>
    <w:rsid w:val="006B52C8"/>
    <w:rsid w:val="006C4B21"/>
    <w:rsid w:val="006C7BFA"/>
    <w:rsid w:val="006E314E"/>
    <w:rsid w:val="006F3F02"/>
    <w:rsid w:val="006F4AAB"/>
    <w:rsid w:val="00713730"/>
    <w:rsid w:val="007708F0"/>
    <w:rsid w:val="0077453C"/>
    <w:rsid w:val="00795227"/>
    <w:rsid w:val="00801711"/>
    <w:rsid w:val="00802849"/>
    <w:rsid w:val="008130F9"/>
    <w:rsid w:val="00815F6F"/>
    <w:rsid w:val="008209D5"/>
    <w:rsid w:val="00835598"/>
    <w:rsid w:val="00875D9F"/>
    <w:rsid w:val="00884493"/>
    <w:rsid w:val="008B3595"/>
    <w:rsid w:val="008B4EF7"/>
    <w:rsid w:val="008B7D29"/>
    <w:rsid w:val="008E7E93"/>
    <w:rsid w:val="00930CDC"/>
    <w:rsid w:val="00974DE8"/>
    <w:rsid w:val="00977A2C"/>
    <w:rsid w:val="009B4508"/>
    <w:rsid w:val="009F10AA"/>
    <w:rsid w:val="009F17A6"/>
    <w:rsid w:val="00A01528"/>
    <w:rsid w:val="00A2078D"/>
    <w:rsid w:val="00A31255"/>
    <w:rsid w:val="00A34834"/>
    <w:rsid w:val="00AA6080"/>
    <w:rsid w:val="00AC26D2"/>
    <w:rsid w:val="00AC448E"/>
    <w:rsid w:val="00AF3858"/>
    <w:rsid w:val="00AF4CC5"/>
    <w:rsid w:val="00B044CD"/>
    <w:rsid w:val="00B11F44"/>
    <w:rsid w:val="00B12E4F"/>
    <w:rsid w:val="00B31B76"/>
    <w:rsid w:val="00B62608"/>
    <w:rsid w:val="00B637F7"/>
    <w:rsid w:val="00B64C7A"/>
    <w:rsid w:val="00BB5AEB"/>
    <w:rsid w:val="00C36F75"/>
    <w:rsid w:val="00C42C8E"/>
    <w:rsid w:val="00C61115"/>
    <w:rsid w:val="00C80DD5"/>
    <w:rsid w:val="00C81D14"/>
    <w:rsid w:val="00C963AB"/>
    <w:rsid w:val="00CB725B"/>
    <w:rsid w:val="00CC5F1F"/>
    <w:rsid w:val="00CF349E"/>
    <w:rsid w:val="00CF71E4"/>
    <w:rsid w:val="00D76BB2"/>
    <w:rsid w:val="00DB0B5D"/>
    <w:rsid w:val="00DC0500"/>
    <w:rsid w:val="00E05842"/>
    <w:rsid w:val="00E108BD"/>
    <w:rsid w:val="00E229F1"/>
    <w:rsid w:val="00E316DF"/>
    <w:rsid w:val="00E37E2E"/>
    <w:rsid w:val="00E415D3"/>
    <w:rsid w:val="00E612CD"/>
    <w:rsid w:val="00E764C1"/>
    <w:rsid w:val="00E91D91"/>
    <w:rsid w:val="00EB35A7"/>
    <w:rsid w:val="00ED0BA0"/>
    <w:rsid w:val="00F17E7F"/>
    <w:rsid w:val="00F22562"/>
    <w:rsid w:val="00F23153"/>
    <w:rsid w:val="00F30241"/>
    <w:rsid w:val="00FB4466"/>
    <w:rsid w:val="00FC0EA8"/>
    <w:rsid w:val="00FF0E5B"/>
    <w:rsid w:val="06B8243E"/>
    <w:rsid w:val="09C16287"/>
    <w:rsid w:val="0A1459AF"/>
    <w:rsid w:val="0BD31129"/>
    <w:rsid w:val="0BD62045"/>
    <w:rsid w:val="0D716AD5"/>
    <w:rsid w:val="0FC12EE5"/>
    <w:rsid w:val="10F0498A"/>
    <w:rsid w:val="1235682E"/>
    <w:rsid w:val="128F12CC"/>
    <w:rsid w:val="193C314F"/>
    <w:rsid w:val="1B1A04DE"/>
    <w:rsid w:val="1E1C50B2"/>
    <w:rsid w:val="22EB6028"/>
    <w:rsid w:val="24001D9A"/>
    <w:rsid w:val="283E596C"/>
    <w:rsid w:val="2A622F84"/>
    <w:rsid w:val="2E212557"/>
    <w:rsid w:val="2FB774D6"/>
    <w:rsid w:val="2FB920BE"/>
    <w:rsid w:val="302E2353"/>
    <w:rsid w:val="31F34091"/>
    <w:rsid w:val="34D04D2C"/>
    <w:rsid w:val="367661B0"/>
    <w:rsid w:val="37491676"/>
    <w:rsid w:val="3A6B0CA9"/>
    <w:rsid w:val="3C5812A5"/>
    <w:rsid w:val="3D996CD5"/>
    <w:rsid w:val="40C371E2"/>
    <w:rsid w:val="432C0186"/>
    <w:rsid w:val="4BB54F73"/>
    <w:rsid w:val="4C780053"/>
    <w:rsid w:val="4D602121"/>
    <w:rsid w:val="4E691B88"/>
    <w:rsid w:val="5061762D"/>
    <w:rsid w:val="521F6F37"/>
    <w:rsid w:val="54EA362C"/>
    <w:rsid w:val="552D7DE8"/>
    <w:rsid w:val="5A0B2110"/>
    <w:rsid w:val="5C162014"/>
    <w:rsid w:val="657E7440"/>
    <w:rsid w:val="65A13D5F"/>
    <w:rsid w:val="6744408F"/>
    <w:rsid w:val="69290BA3"/>
    <w:rsid w:val="69D620DD"/>
    <w:rsid w:val="6F7A7CFF"/>
    <w:rsid w:val="72431602"/>
    <w:rsid w:val="73BF0C11"/>
    <w:rsid w:val="749E3CA9"/>
    <w:rsid w:val="770222DC"/>
    <w:rsid w:val="77562422"/>
    <w:rsid w:val="78083440"/>
    <w:rsid w:val="792B6B14"/>
    <w:rsid w:val="79B5449C"/>
    <w:rsid w:val="7AC57669"/>
    <w:rsid w:val="7FF15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qFormat/>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2">
    <w:name w:val="Body Text First Indent 2"/>
    <w:basedOn w:val="1"/>
    <w:next w:val="1"/>
    <w:unhideWhenUsed/>
    <w:qFormat/>
    <w:uiPriority w:val="99"/>
    <w:pPr>
      <w:ind w:firstLine="420" w:firstLineChars="200"/>
    </w:p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tabs>
        <w:tab w:val="right" w:leader="dot" w:pos="8296"/>
      </w:tabs>
      <w:spacing w:before="156" w:beforeLines="50" w:after="156" w:afterLines="50"/>
    </w:pPr>
    <w:rPr>
      <w:rFonts w:ascii="黑体" w:hAnsi="黑体" w:eastAsia="黑体"/>
      <w:b/>
      <w:bCs/>
      <w:szCs w:val="21"/>
      <w:shd w:val="clear" w:color="auto" w:fill="FFFFFF"/>
    </w:rPr>
  </w:style>
  <w:style w:type="paragraph" w:styleId="8">
    <w:name w:val="footnote text"/>
    <w:basedOn w:val="1"/>
    <w:link w:val="18"/>
    <w:qFormat/>
    <w:uiPriority w:val="0"/>
    <w:pPr>
      <w:snapToGrid w:val="0"/>
      <w:spacing w:line="360" w:lineRule="auto"/>
      <w:ind w:firstLine="200" w:firstLineChars="200"/>
      <w:jc w:val="left"/>
    </w:pPr>
    <w:rPr>
      <w:rFonts w:ascii="宋体" w:hAnsi="宋体" w:cs="宋体"/>
      <w:sz w:val="18"/>
      <w:szCs w:val="18"/>
    </w:rPr>
  </w:style>
  <w:style w:type="paragraph" w:styleId="9">
    <w:name w:val="toc 2"/>
    <w:basedOn w:val="1"/>
    <w:next w:val="1"/>
    <w:unhideWhenUsed/>
    <w:uiPriority w:val="39"/>
    <w:pPr>
      <w:ind w:left="420" w:leftChars="200"/>
    </w:p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3">
    <w:name w:val="Hyperlink"/>
    <w:basedOn w:val="12"/>
    <w:unhideWhenUsed/>
    <w:uiPriority w:val="99"/>
    <w:rPr>
      <w:color w:val="0563C1" w:themeColor="hyperlink"/>
      <w:u w:val="single"/>
      <w14:textFill>
        <w14:solidFill>
          <w14:schemeClr w14:val="hlink"/>
        </w14:solidFill>
      </w14:textFill>
    </w:rPr>
  </w:style>
  <w:style w:type="character" w:styleId="14">
    <w:name w:val="footnote reference"/>
    <w:uiPriority w:val="0"/>
    <w:rPr>
      <w:vertAlign w:val="superscript"/>
    </w:rPr>
  </w:style>
  <w:style w:type="character" w:customStyle="1" w:styleId="15">
    <w:name w:val="页眉 字符"/>
    <w:basedOn w:val="12"/>
    <w:link w:val="6"/>
    <w:uiPriority w:val="99"/>
    <w:rPr>
      <w:sz w:val="18"/>
      <w:szCs w:val="18"/>
    </w:rPr>
  </w:style>
  <w:style w:type="character" w:customStyle="1" w:styleId="16">
    <w:name w:val="页脚 字符"/>
    <w:basedOn w:val="12"/>
    <w:link w:val="5"/>
    <w:qFormat/>
    <w:uiPriority w:val="99"/>
    <w:rPr>
      <w:sz w:val="18"/>
      <w:szCs w:val="18"/>
    </w:rPr>
  </w:style>
  <w:style w:type="paragraph" w:customStyle="1" w:styleId="17">
    <w:name w:val="正文 New New New New New New New New New"/>
    <w:qFormat/>
    <w:uiPriority w:val="0"/>
    <w:pPr>
      <w:widowControl w:val="0"/>
      <w:jc w:val="both"/>
    </w:pPr>
    <w:rPr>
      <w:rFonts w:ascii="Calibri" w:hAnsi="Calibri" w:eastAsia="宋体" w:cs="黑体"/>
      <w:kern w:val="2"/>
      <w:sz w:val="21"/>
      <w:szCs w:val="24"/>
      <w:lang w:val="en-US" w:eastAsia="zh-CN" w:bidi="ar-SA"/>
    </w:rPr>
  </w:style>
  <w:style w:type="character" w:customStyle="1" w:styleId="18">
    <w:name w:val="脚注文本 字符1"/>
    <w:link w:val="8"/>
    <w:uiPriority w:val="0"/>
    <w:rPr>
      <w:rFonts w:ascii="宋体" w:hAnsi="宋体" w:cs="宋体"/>
      <w:sz w:val="18"/>
      <w:szCs w:val="18"/>
    </w:rPr>
  </w:style>
  <w:style w:type="character" w:customStyle="1" w:styleId="19">
    <w:name w:val="脚注文本 字符"/>
    <w:basedOn w:val="12"/>
    <w:semiHidden/>
    <w:qFormat/>
    <w:uiPriority w:val="99"/>
    <w:rPr>
      <w:sz w:val="18"/>
      <w:szCs w:val="18"/>
    </w:rPr>
  </w:style>
  <w:style w:type="paragraph" w:styleId="20">
    <w:name w:val="List Paragraph"/>
    <w:basedOn w:val="1"/>
    <w:qFormat/>
    <w:uiPriority w:val="34"/>
    <w:pPr>
      <w:ind w:firstLine="420" w:firstLineChars="200"/>
    </w:pPr>
  </w:style>
  <w:style w:type="character" w:customStyle="1" w:styleId="21">
    <w:name w:val="标题 1 字符"/>
    <w:basedOn w:val="12"/>
    <w:link w:val="3"/>
    <w:qFormat/>
    <w:uiPriority w:val="9"/>
    <w:rPr>
      <w:b/>
      <w:bCs/>
      <w:kern w:val="44"/>
      <w:sz w:val="44"/>
      <w:szCs w:val="44"/>
    </w:rPr>
  </w:style>
  <w:style w:type="character" w:customStyle="1" w:styleId="22">
    <w:name w:val="标题 2 字符"/>
    <w:basedOn w:val="12"/>
    <w:link w:val="4"/>
    <w:uiPriority w:val="9"/>
    <w:rPr>
      <w:rFonts w:asciiTheme="majorHAnsi" w:hAnsiTheme="majorHAnsi" w:eastAsiaTheme="majorEastAsia" w:cstheme="majorBidi"/>
      <w:b/>
      <w:bCs/>
      <w:sz w:val="32"/>
      <w:szCs w:val="32"/>
    </w:rPr>
  </w:style>
  <w:style w:type="character" w:customStyle="1" w:styleId="23">
    <w:name w:val="标题 2 Char Char"/>
    <w:link w:val="24"/>
    <w:qFormat/>
    <w:uiPriority w:val="0"/>
    <w:rPr>
      <w:rFonts w:ascii="等线 Light" w:hAnsi="等线 Light" w:eastAsia="楷体_GB2312"/>
      <w:b/>
      <w:bCs/>
      <w:sz w:val="32"/>
      <w:szCs w:val="32"/>
    </w:rPr>
  </w:style>
  <w:style w:type="paragraph" w:customStyle="1" w:styleId="24">
    <w:name w:val="标题 2 New"/>
    <w:basedOn w:val="1"/>
    <w:next w:val="1"/>
    <w:link w:val="23"/>
    <w:uiPriority w:val="0"/>
    <w:pPr>
      <w:keepNext/>
      <w:keepLines/>
      <w:outlineLvl w:val="1"/>
    </w:pPr>
    <w:rPr>
      <w:rFonts w:ascii="等线 Light" w:hAnsi="等线 Light" w:eastAsia="楷体_GB2312"/>
      <w:b/>
      <w:bCs/>
      <w:sz w:val="32"/>
      <w:szCs w:val="32"/>
    </w:rPr>
  </w:style>
  <w:style w:type="paragraph" w:customStyle="1" w:styleId="25">
    <w:name w:val="专项正文"/>
    <w:basedOn w:val="1"/>
    <w:link w:val="26"/>
    <w:qFormat/>
    <w:uiPriority w:val="0"/>
    <w:pPr>
      <w:ind w:firstLine="560" w:firstLineChars="200"/>
    </w:pPr>
    <w:rPr>
      <w:rFonts w:ascii="宋体" w:hAnsi="宋体" w:eastAsia="宋体"/>
      <w:sz w:val="28"/>
      <w:szCs w:val="28"/>
      <w:shd w:val="clear" w:color="auto" w:fill="FFFFFF"/>
    </w:rPr>
  </w:style>
  <w:style w:type="character" w:customStyle="1" w:styleId="26">
    <w:name w:val="专项正文 字符"/>
    <w:basedOn w:val="12"/>
    <w:link w:val="25"/>
    <w:qFormat/>
    <w:uiPriority w:val="0"/>
    <w:rPr>
      <w:rFonts w:ascii="宋体" w:hAnsi="宋体" w:eastAsia="宋体"/>
      <w:sz w:val="28"/>
      <w:szCs w:val="28"/>
    </w:rPr>
  </w:style>
  <w:style w:type="paragraph" w:customStyle="1" w:styleId="27">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28">
    <w:name w:val="正文 New"/>
    <w:basedOn w:val="1"/>
    <w:uiPriority w:val="0"/>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1EA3CB-FF34-488D-9D7A-9418529C8BEF}">
  <ds:schemaRefs/>
</ds:datastoreItem>
</file>

<file path=docProps/app.xml><?xml version="1.0" encoding="utf-8"?>
<Properties xmlns="http://schemas.openxmlformats.org/officeDocument/2006/extended-properties" xmlns:vt="http://schemas.openxmlformats.org/officeDocument/2006/docPropsVTypes">
  <Template>Normal</Template>
  <Pages>56</Pages>
  <Words>5882</Words>
  <Characters>33531</Characters>
  <Lines>279</Lines>
  <Paragraphs>78</Paragraphs>
  <TotalTime>72</TotalTime>
  <ScaleCrop>false</ScaleCrop>
  <LinksUpToDate>false</LinksUpToDate>
  <CharactersWithSpaces>39335</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2021-03-11T05:38:00Z</dcterms:created>
  <dc:creator>。。。</dc:creator>
  <cp:lastModifiedBy>jenrii</cp:lastModifiedBy>
  <dcterms:modified xsi:type="dcterms:W3CDTF">2021-06-07T04:11:39Z</dcterms:modified>
  <cp:revision>264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11579A16E63C46DDA5088ABF1AC70890</vt:lpwstr>
  </property>
</Properties>
</file>