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val="0"/>
        <w:snapToGrid w:val="0"/>
        <w:ind w:right="0" w:rightChars="0"/>
        <w:jc w:val="center"/>
        <w:textAlignment w:val="auto"/>
        <w:rPr>
          <w:rFonts w:hint="eastAsia" w:ascii="黑体" w:hAnsi="宋体" w:eastAsia="黑体"/>
          <w:color w:val="auto"/>
          <w:sz w:val="84"/>
          <w:szCs w:val="84"/>
          <w:highlight w:val="none"/>
          <w:lang w:val="en-US" w:eastAsia="zh-CN"/>
        </w:rPr>
      </w:pPr>
      <w:r>
        <w:rPr>
          <w:rFonts w:hint="eastAsia" w:ascii="黑体" w:hAnsi="宋体" w:eastAsia="黑体"/>
          <w:color w:val="auto"/>
          <w:sz w:val="84"/>
          <w:szCs w:val="84"/>
          <w:highlight w:val="none"/>
          <w:lang w:val="en-US" w:eastAsia="zh-CN"/>
        </w:rPr>
        <w:t xml:space="preserve"> </w:t>
      </w:r>
    </w:p>
    <w:p>
      <w:pPr>
        <w:pStyle w:val="2"/>
        <w:outlineLvl w:val="9"/>
        <w:rPr>
          <w:rFonts w:hint="eastAsia" w:ascii="黑体" w:hAnsi="宋体" w:eastAsia="黑体"/>
          <w:color w:val="auto"/>
          <w:sz w:val="84"/>
          <w:szCs w:val="84"/>
          <w:highlight w:val="none"/>
        </w:rPr>
      </w:pPr>
    </w:p>
    <w:p>
      <w:pPr>
        <w:pageBreakBefore w:val="0"/>
        <w:widowControl w:val="0"/>
        <w:kinsoku/>
        <w:wordWrap/>
        <w:overflowPunct/>
        <w:topLinePunct w:val="0"/>
        <w:autoSpaceDE/>
        <w:autoSpaceDN/>
        <w:bidi w:val="0"/>
        <w:adjustRightInd w:val="0"/>
        <w:snapToGrid w:val="0"/>
        <w:ind w:right="0" w:rightChars="0"/>
        <w:jc w:val="center"/>
        <w:textAlignment w:val="auto"/>
        <w:rPr>
          <w:rFonts w:hint="eastAsia" w:ascii="黑体" w:hAnsi="宋体" w:eastAsia="黑体"/>
          <w:color w:val="auto"/>
          <w:sz w:val="84"/>
          <w:szCs w:val="84"/>
          <w:highlight w:val="none"/>
        </w:rPr>
      </w:pPr>
    </w:p>
    <w:p>
      <w:pPr>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黑体" w:hAnsi="宋体" w:eastAsia="黑体"/>
          <w:color w:val="auto"/>
          <w:sz w:val="72"/>
          <w:szCs w:val="72"/>
          <w:highlight w:val="none"/>
        </w:rPr>
      </w:pPr>
      <w:r>
        <w:rPr>
          <w:rFonts w:hint="eastAsia" w:ascii="黑体" w:hAnsi="宋体" w:eastAsia="黑体"/>
          <w:color w:val="auto"/>
          <w:sz w:val="72"/>
          <w:szCs w:val="72"/>
          <w:highlight w:val="none"/>
          <w:lang w:val="en-US" w:eastAsia="zh-CN"/>
        </w:rPr>
        <w:t>清远市</w:t>
      </w:r>
      <w:r>
        <w:rPr>
          <w:rFonts w:hint="eastAsia" w:ascii="黑体" w:hAnsi="宋体" w:eastAsia="黑体"/>
          <w:color w:val="auto"/>
          <w:sz w:val="72"/>
          <w:szCs w:val="72"/>
          <w:highlight w:val="none"/>
        </w:rPr>
        <w:t>清城区</w:t>
      </w:r>
    </w:p>
    <w:p>
      <w:pPr>
        <w:pageBreakBefore w:val="0"/>
        <w:widowControl w:val="0"/>
        <w:kinsoku/>
        <w:wordWrap/>
        <w:overflowPunct/>
        <w:topLinePunct w:val="0"/>
        <w:autoSpaceDE/>
        <w:autoSpaceDN/>
        <w:bidi w:val="0"/>
        <w:adjustRightInd w:val="0"/>
        <w:snapToGrid w:val="0"/>
        <w:spacing w:line="240" w:lineRule="auto"/>
        <w:ind w:right="0" w:rightChars="0"/>
        <w:jc w:val="center"/>
        <w:textAlignment w:val="auto"/>
        <w:outlineLvl w:val="9"/>
        <w:rPr>
          <w:rFonts w:hint="eastAsia" w:ascii="黑体" w:hAnsi="宋体" w:eastAsia="黑体"/>
          <w:color w:val="auto"/>
          <w:sz w:val="72"/>
          <w:szCs w:val="72"/>
          <w:highlight w:val="none"/>
        </w:rPr>
      </w:pPr>
      <w:r>
        <w:rPr>
          <w:rFonts w:hint="eastAsia" w:ascii="黑体" w:hAnsi="宋体" w:eastAsia="黑体"/>
          <w:color w:val="auto"/>
          <w:sz w:val="72"/>
          <w:szCs w:val="72"/>
          <w:highlight w:val="none"/>
        </w:rPr>
        <w:t>再生资源回收网点规划</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r>
        <w:rPr>
          <w:rFonts w:hint="eastAsia" w:ascii="黑体" w:hAnsi="宋体" w:eastAsia="黑体"/>
          <w:color w:val="auto"/>
          <w:sz w:val="52"/>
          <w:szCs w:val="52"/>
          <w:highlight w:val="none"/>
          <w:lang w:eastAsia="zh-CN"/>
        </w:rPr>
        <w:t>（</w:t>
      </w:r>
      <w:r>
        <w:rPr>
          <w:rFonts w:hint="eastAsia" w:ascii="黑体" w:hAnsi="宋体" w:eastAsia="黑体"/>
          <w:color w:val="auto"/>
          <w:sz w:val="52"/>
          <w:szCs w:val="52"/>
          <w:highlight w:val="none"/>
          <w:lang w:val="en-US" w:eastAsia="zh-CN"/>
        </w:rPr>
        <w:t>2023—2025年）</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52"/>
          <w:szCs w:val="5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36"/>
          <w:szCs w:val="36"/>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36"/>
          <w:szCs w:val="36"/>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36"/>
          <w:szCs w:val="36"/>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黑体" w:hAnsi="宋体" w:eastAsia="黑体"/>
          <w:color w:val="auto"/>
          <w:sz w:val="36"/>
          <w:szCs w:val="36"/>
          <w:highlight w:val="none"/>
        </w:rPr>
      </w:pPr>
      <w:r>
        <w:rPr>
          <w:rFonts w:hint="eastAsia" w:ascii="仿宋" w:hAnsi="仿宋" w:eastAsia="仿宋" w:cs="仿宋"/>
          <w:color w:val="auto"/>
          <w:sz w:val="36"/>
          <w:szCs w:val="36"/>
          <w:highlight w:val="none"/>
          <w:lang w:val="en-US" w:eastAsia="zh-CN"/>
        </w:rPr>
        <w:t>清远市清城区人民政府</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default" w:ascii="仿宋" w:hAnsi="仿宋" w:eastAsia="仿宋" w:cs="仿宋"/>
          <w:color w:val="auto"/>
          <w:sz w:val="36"/>
          <w:szCs w:val="36"/>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仿宋" w:hAnsi="仿宋" w:eastAsia="仿宋" w:cs="仿宋"/>
          <w:color w:val="auto"/>
          <w:sz w:val="36"/>
          <w:szCs w:val="36"/>
          <w:highlight w:val="yellow"/>
          <w:lang w:val="en-US" w:eastAsia="zh-CN"/>
        </w:rPr>
      </w:pPr>
      <w:r>
        <w:rPr>
          <w:rFonts w:hint="eastAsia" w:ascii="仿宋" w:hAnsi="仿宋" w:eastAsia="仿宋" w:cs="仿宋"/>
          <w:color w:val="auto"/>
          <w:sz w:val="36"/>
          <w:szCs w:val="36"/>
          <w:highlight w:val="none"/>
          <w:lang w:val="en-US" w:eastAsia="zh-CN"/>
        </w:rPr>
        <w:t>二〇二三年五月</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仿宋" w:hAnsi="仿宋" w:eastAsia="仿宋" w:cs="仿宋"/>
          <w:color w:val="auto"/>
          <w:sz w:val="36"/>
          <w:szCs w:val="36"/>
          <w:highlight w:val="none"/>
          <w:lang w:val="en-US" w:eastAsia="zh-CN"/>
        </w:rPr>
      </w:pPr>
      <w:r>
        <w:rPr>
          <w:rFonts w:hint="eastAsia" w:ascii="仿宋" w:hAnsi="仿宋" w:eastAsia="仿宋" w:cs="仿宋"/>
          <w:color w:val="auto"/>
          <w:sz w:val="36"/>
          <w:szCs w:val="36"/>
          <w:highlight w:val="none"/>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firstLine="0" w:firstLineChars="0"/>
        <w:jc w:val="center"/>
        <w:textAlignment w:val="auto"/>
        <w:outlineLvl w:val="9"/>
        <w:rPr>
          <w:rFonts w:hint="eastAsia" w:ascii="仿宋" w:hAnsi="仿宋" w:eastAsia="仿宋" w:cs="仿宋"/>
          <w:color w:val="auto"/>
          <w:sz w:val="36"/>
          <w:szCs w:val="36"/>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编制</w:t>
      </w:r>
      <w:r>
        <w:rPr>
          <w:rFonts w:hint="eastAsia" w:ascii="仿宋_GB2312" w:hAnsi="仿宋_GB2312" w:eastAsia="仿宋_GB2312" w:cs="仿宋_GB2312"/>
          <w:b/>
          <w:bCs/>
          <w:color w:val="auto"/>
          <w:sz w:val="32"/>
          <w:szCs w:val="32"/>
          <w:highlight w:val="none"/>
          <w:lang w:val="en-US" w:eastAsia="zh-CN"/>
        </w:rPr>
        <w:t>单位：</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清远市金属行业商会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项目负责人：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杨  舜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高级经济师、工程师</w:t>
      </w:r>
      <w:bookmarkStart w:id="0" w:name="_Toc25672"/>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主要</w:t>
      </w:r>
      <w:r>
        <w:rPr>
          <w:rFonts w:hint="eastAsia" w:ascii="仿宋_GB2312" w:hAnsi="仿宋_GB2312" w:eastAsia="仿宋_GB2312" w:cs="仿宋_GB2312"/>
          <w:b/>
          <w:bCs/>
          <w:color w:val="auto"/>
          <w:sz w:val="32"/>
          <w:szCs w:val="32"/>
          <w:highlight w:val="none"/>
        </w:rPr>
        <w:t>编制人员</w:t>
      </w:r>
      <w:r>
        <w:rPr>
          <w:rFonts w:hint="eastAsia" w:ascii="仿宋_GB2312" w:hAnsi="仿宋_GB2312" w:eastAsia="仿宋_GB2312" w:cs="仿宋_GB2312"/>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 xml:space="preserve">魏华光   </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教授级高工</w:t>
      </w:r>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曾联群    高级工程师</w:t>
      </w:r>
      <w:bookmarkStart w:id="1" w:name="_Toc9185"/>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color w:val="auto"/>
          <w:kern w:val="2"/>
          <w:sz w:val="32"/>
          <w:szCs w:val="32"/>
          <w:highlight w:val="none"/>
        </w:rPr>
      </w:pPr>
      <w:r>
        <w:rPr>
          <w:rFonts w:hint="eastAsia" w:ascii="仿宋_GB2312" w:hAnsi="仿宋_GB2312" w:eastAsia="仿宋_GB2312" w:cs="仿宋_GB2312"/>
          <w:b w:val="0"/>
          <w:bCs w:val="0"/>
          <w:color w:val="auto"/>
          <w:kern w:val="2"/>
          <w:sz w:val="32"/>
          <w:szCs w:val="32"/>
          <w:highlight w:val="none"/>
        </w:rPr>
        <w:t>王思幸    经济师、科技情报研究实习员</w:t>
      </w:r>
      <w:bookmarkEnd w:id="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刘国东</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经济师、</w:t>
      </w:r>
      <w:r>
        <w:rPr>
          <w:rFonts w:hint="eastAsia" w:ascii="仿宋_GB2312" w:hAnsi="仿宋_GB2312" w:eastAsia="仿宋_GB2312" w:cs="仿宋_GB2312"/>
          <w:color w:val="auto"/>
          <w:sz w:val="32"/>
          <w:szCs w:val="32"/>
          <w:highlight w:val="none"/>
        </w:rPr>
        <w:t>科技情报研究实习员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color w:val="auto"/>
          <w:kern w:val="2"/>
          <w:sz w:val="32"/>
          <w:szCs w:val="32"/>
          <w:highlight w:val="none"/>
        </w:rPr>
      </w:pPr>
      <w:r>
        <w:rPr>
          <w:rFonts w:hint="eastAsia" w:ascii="仿宋_GB2312" w:hAnsi="仿宋_GB2312" w:eastAsia="仿宋_GB2312" w:cs="仿宋_GB2312"/>
          <w:b w:val="0"/>
          <w:bCs w:val="0"/>
          <w:color w:val="auto"/>
          <w:kern w:val="2"/>
          <w:sz w:val="32"/>
          <w:szCs w:val="32"/>
          <w:highlight w:val="none"/>
        </w:rPr>
        <w:t>黄燕虹    科技情报研究实习员</w:t>
      </w:r>
    </w:p>
    <w:p>
      <w:pPr>
        <w:spacing w:line="360" w:lineRule="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谢燕芬    会计师</w:t>
      </w:r>
    </w:p>
    <w:p>
      <w:pPr>
        <w:pStyle w:val="2"/>
        <w:outlineLvl w:val="9"/>
        <w:rPr>
          <w:rFonts w:hint="eastAsia" w:ascii="仿宋" w:hAnsi="仿宋" w:eastAsia="仿宋" w:cs="仿宋"/>
          <w:b w:val="0"/>
          <w:bCs w:val="0"/>
          <w:color w:val="auto"/>
          <w:kern w:val="2"/>
          <w:sz w:val="32"/>
          <w:szCs w:val="32"/>
          <w:highlight w:val="none"/>
          <w:lang w:val="en-US" w:eastAsia="zh-CN" w:bidi="ar-SA"/>
        </w:rPr>
      </w:pPr>
    </w:p>
    <w:p>
      <w:pPr>
        <w:rPr>
          <w:rFonts w:hint="default" w:ascii="仿宋" w:hAnsi="仿宋" w:eastAsia="仿宋" w:cs="仿宋"/>
          <w:b w:val="0"/>
          <w:bCs w:val="0"/>
          <w:color w:val="auto"/>
          <w:kern w:val="2"/>
          <w:sz w:val="32"/>
          <w:szCs w:val="32"/>
          <w:highlight w:val="none"/>
          <w:lang w:val="en-US" w:eastAsia="zh-CN" w:bidi="ar-SA"/>
        </w:rPr>
        <w:sectPr>
          <w:footerReference r:id="rId3" w:type="default"/>
          <w:pgSz w:w="11906" w:h="16838"/>
          <w:pgMar w:top="1440" w:right="1800" w:bottom="1440" w:left="1800" w:header="851" w:footer="992" w:gutter="0"/>
          <w:pgNumType w:fmt="numberInDash" w:start="1"/>
          <w:cols w:space="720" w:num="1"/>
          <w:docGrid w:type="lines" w:linePitch="312" w:charSpace="0"/>
        </w:sectPr>
      </w:pPr>
    </w:p>
    <w:sdt>
      <w:sdtPr>
        <w:rPr>
          <w:rFonts w:hint="eastAsia" w:ascii="仿宋_GB2312" w:hAnsi="仿宋_GB2312" w:eastAsia="仿宋_GB2312" w:cs="仿宋_GB2312"/>
          <w:color w:val="auto"/>
          <w:kern w:val="2"/>
          <w:sz w:val="32"/>
          <w:szCs w:val="32"/>
          <w:lang w:val="en-US" w:eastAsia="zh-CN" w:bidi="ar-SA"/>
        </w:rPr>
        <w:id w:val="147456417"/>
        <w15:color w:val="DBDBDB"/>
        <w:docPartObj>
          <w:docPartGallery w:val="Table of Contents"/>
          <w:docPartUnique/>
        </w:docPartObj>
      </w:sdtPr>
      <w:sdtEndPr>
        <w:rPr>
          <w:rFonts w:hint="eastAsia" w:ascii="方正小标宋_GBK" w:hAnsi="方正小标宋_GBK" w:eastAsia="方正小标宋_GBK" w:cs="方正小标宋_GBK"/>
          <w:bCs w:val="0"/>
          <w:color w:val="auto"/>
          <w:kern w:val="2"/>
          <w:sz w:val="21"/>
          <w:szCs w:val="44"/>
          <w:highlight w:val="none"/>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eastAsia" w:ascii="仿宋_GB2312" w:hAnsi="仿宋_GB2312" w:eastAsia="仿宋_GB2312" w:cs="仿宋_GB2312"/>
              <w:sz w:val="32"/>
              <w:szCs w:val="32"/>
            </w:rPr>
          </w:pPr>
          <w:bookmarkStart w:id="2" w:name="_Toc24303"/>
          <w:bookmarkStart w:id="3" w:name="_Toc28361"/>
          <w:bookmarkStart w:id="4" w:name="_Toc18831"/>
          <w:bookmarkStart w:id="5" w:name="_Toc9172"/>
          <w:bookmarkStart w:id="6" w:name="_Toc30550"/>
          <w:r>
            <w:rPr>
              <w:rFonts w:hint="eastAsia" w:ascii="仿宋_GB2312" w:hAnsi="仿宋_GB2312" w:eastAsia="仿宋_GB2312" w:cs="仿宋_GB2312"/>
              <w:sz w:val="32"/>
              <w:szCs w:val="32"/>
            </w:rPr>
            <w:t>目</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录</w:t>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 w:val="0"/>
              <w:bCs w:val="0"/>
              <w:color w:val="auto"/>
              <w:sz w:val="44"/>
              <w:szCs w:val="44"/>
              <w:highlight w:val="none"/>
            </w:rPr>
            <w:fldChar w:fldCharType="begin"/>
          </w:r>
          <w:r>
            <w:rPr>
              <w:rFonts w:hint="eastAsia" w:ascii="仿宋_GB2312" w:hAnsi="仿宋_GB2312" w:eastAsia="仿宋_GB2312" w:cs="仿宋_GB2312"/>
              <w:b w:val="0"/>
              <w:bCs w:val="0"/>
              <w:color w:val="auto"/>
              <w:sz w:val="44"/>
              <w:szCs w:val="44"/>
              <w:highlight w:val="none"/>
            </w:rPr>
            <w:instrText xml:space="preserve">TOC \o "1-3" \h \u </w:instrText>
          </w:r>
          <w:r>
            <w:rPr>
              <w:rFonts w:hint="eastAsia" w:ascii="仿宋_GB2312" w:hAnsi="仿宋_GB2312" w:eastAsia="仿宋_GB2312" w:cs="仿宋_GB2312"/>
              <w:b w:val="0"/>
              <w:bCs w:val="0"/>
              <w:color w:val="auto"/>
              <w:sz w:val="44"/>
              <w:szCs w:val="44"/>
              <w:highlight w:val="none"/>
            </w:rPr>
            <w:fldChar w:fldCharType="separate"/>
          </w: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_Toc4838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rPr>
            <w:t>第一章  总则</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_Toc4838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_Toc3514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kern w:val="44"/>
              <w:szCs w:val="32"/>
              <w:highlight w:val="none"/>
              <w:lang w:val="en-US" w:eastAsia="zh-CN" w:bidi="ar-SA"/>
            </w:rPr>
            <w:t>一、规划背景</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_Toc3514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_Toc995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（一）清城区再生资源回收的基础</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_Toc995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_Toc4716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（二）清城区再生资源回收网点现状</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_Toc4716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_Toc25848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（三）清城区再生资源回收网点存在的问题</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_Toc25848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- 5 -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_Toc16202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（四）再生资源回收面临的机遇</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_Toc16202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_Toc5408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（五）再生资源回收面临的挑战</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_Toc5408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- 9 -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_Toc5421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w:t>
          </w:r>
          <w:r>
            <w:rPr>
              <w:rFonts w:hint="eastAsia" w:ascii="仿宋_GB2312" w:hAnsi="仿宋_GB2312" w:eastAsia="仿宋_GB2312" w:cs="仿宋_GB2312"/>
              <w:bCs w:val="0"/>
              <w:szCs w:val="32"/>
              <w:highlight w:val="none"/>
            </w:rPr>
            <w:t>规划的意义和目的</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_Toc5421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_Toc16522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（一）规划意义</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_Toc16522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_Toc27477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（二）规划目的</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_Toc27477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_Toc5634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三、规划范围与对象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_Toc5634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_Toc16321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（一）规划范围</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_Toc16321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_Toc1120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（二）规划对象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_Toc1120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_Toc29531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四、规划依据</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_Toc29531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_Toc10391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（一）国家法律、法规及相关文件</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_Toc10391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_Toc6220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二</w:t>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rPr>
            <w:t>广东省相关法规、文件、规划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_Toc6220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- 15 -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_Toc6432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三</w:t>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rPr>
            <w:t>清远市相关法规、文件、规划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_Toc6432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_Toc27707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五、</w:t>
          </w:r>
          <w:r>
            <w:rPr>
              <w:rFonts w:hint="eastAsia" w:ascii="仿宋_GB2312" w:hAnsi="仿宋_GB2312" w:eastAsia="仿宋_GB2312" w:cs="仿宋_GB2312"/>
              <w:bCs w:val="0"/>
              <w:szCs w:val="32"/>
              <w:highlight w:val="none"/>
            </w:rPr>
            <w:t>规划期限</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_Toc27707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_Toc25041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六、名词解释</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_Toc25041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- 18 -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_Toc9545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第二章  指导思想与目标</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_Toc9545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_Toc23396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一、规划指导思想</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_Toc23396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_Toc12282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二、规划基本原则</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_Toc12282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_Toc9271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三、规划目标</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_Toc9271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_Toc11636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四、建设思路</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_Toc11636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- 23 -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_Toc27662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第三章  再生资</w:t>
          </w:r>
          <w:r>
            <w:rPr>
              <w:rFonts w:hint="eastAsia" w:ascii="仿宋_GB2312" w:hAnsi="仿宋_GB2312" w:eastAsia="仿宋_GB2312" w:cs="仿宋_GB2312"/>
              <w:bCs w:val="0"/>
              <w:szCs w:val="32"/>
              <w:highlight w:val="none"/>
              <w:lang w:val="en-US" w:eastAsia="zh-CN"/>
            </w:rPr>
            <w:t>源回收网络</w:t>
          </w:r>
          <w:r>
            <w:rPr>
              <w:rFonts w:hint="eastAsia" w:ascii="仿宋_GB2312" w:hAnsi="仿宋_GB2312" w:eastAsia="仿宋_GB2312" w:cs="仿宋_GB2312"/>
              <w:szCs w:val="32"/>
              <w:highlight w:val="none"/>
            </w:rPr>
            <w:t>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_Toc27662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- 25 -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_Toc15552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一、清城区再生资源回收网络设计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_Toc15552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- 25 -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_Toc4827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一</w:t>
          </w:r>
          <w:r>
            <w:rPr>
              <w:rFonts w:hint="eastAsia" w:ascii="仿宋_GB2312" w:hAnsi="仿宋_GB2312" w:eastAsia="仿宋_GB2312" w:cs="仿宋_GB2312"/>
              <w:bCs w:val="0"/>
              <w:szCs w:val="32"/>
              <w:highlight w:val="none"/>
              <w:lang w:eastAsia="zh-CN"/>
            </w:rPr>
            <w:t>）生活性再生资源回收网络</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_Toc4827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- 25 -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_Toc12007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二</w:t>
          </w:r>
          <w:r>
            <w:rPr>
              <w:rFonts w:hint="eastAsia" w:ascii="仿宋_GB2312" w:hAnsi="仿宋_GB2312" w:eastAsia="仿宋_GB2312" w:cs="仿宋_GB2312"/>
              <w:bCs w:val="0"/>
              <w:szCs w:val="32"/>
              <w:highlight w:val="none"/>
              <w:lang w:eastAsia="zh-CN"/>
            </w:rPr>
            <w:t>）生产性再生资源回收网络</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_Toc12007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_Toc23260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三</w:t>
          </w:r>
          <w:r>
            <w:rPr>
              <w:rFonts w:hint="eastAsia" w:ascii="仿宋_GB2312" w:hAnsi="仿宋_GB2312" w:eastAsia="仿宋_GB2312" w:cs="仿宋_GB2312"/>
              <w:bCs w:val="0"/>
              <w:szCs w:val="32"/>
              <w:highlight w:val="none"/>
              <w:lang w:eastAsia="zh-CN"/>
            </w:rPr>
            <w:t>）搭建</w:t>
          </w:r>
          <w:r>
            <w:rPr>
              <w:rFonts w:hint="eastAsia" w:ascii="仿宋_GB2312" w:hAnsi="仿宋_GB2312" w:eastAsia="仿宋_GB2312" w:cs="仿宋_GB2312"/>
              <w:bCs w:val="0"/>
              <w:szCs w:val="32"/>
              <w:highlight w:val="none"/>
              <w:lang w:val="en-US" w:eastAsia="zh-CN"/>
            </w:rPr>
            <w:t>绿色</w:t>
          </w:r>
          <w:r>
            <w:rPr>
              <w:rFonts w:hint="eastAsia" w:ascii="仿宋_GB2312" w:hAnsi="仿宋_GB2312" w:eastAsia="仿宋_GB2312" w:cs="仿宋_GB2312"/>
              <w:bCs w:val="0"/>
              <w:szCs w:val="32"/>
              <w:highlight w:val="none"/>
              <w:lang w:eastAsia="zh-CN"/>
            </w:rPr>
            <w:t>智慧</w:t>
          </w:r>
          <w:r>
            <w:rPr>
              <w:rFonts w:hint="eastAsia" w:ascii="仿宋_GB2312" w:hAnsi="仿宋_GB2312" w:eastAsia="仿宋_GB2312" w:cs="仿宋_GB2312"/>
              <w:bCs w:val="0"/>
              <w:szCs w:val="32"/>
              <w:highlight w:val="none"/>
              <w:lang w:val="en-US" w:eastAsia="zh-CN"/>
            </w:rPr>
            <w:t>型</w:t>
          </w:r>
          <w:r>
            <w:rPr>
              <w:rFonts w:hint="eastAsia" w:ascii="仿宋_GB2312" w:hAnsi="仿宋_GB2312" w:eastAsia="仿宋_GB2312" w:cs="仿宋_GB2312"/>
              <w:bCs w:val="0"/>
              <w:szCs w:val="32"/>
              <w:highlight w:val="none"/>
              <w:lang w:eastAsia="zh-CN"/>
            </w:rPr>
            <w:t>管理网络体系</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_Toc23260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- 27 -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_Toc1315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二、清城区再生资源回收网点构成</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_Toc1315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_Toc12428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一</w:t>
          </w:r>
          <w:r>
            <w:rPr>
              <w:rFonts w:hint="eastAsia" w:ascii="仿宋_GB2312" w:hAnsi="仿宋_GB2312" w:eastAsia="仿宋_GB2312" w:cs="仿宋_GB2312"/>
              <w:bCs w:val="0"/>
              <w:szCs w:val="32"/>
              <w:highlight w:val="none"/>
              <w:lang w:eastAsia="zh-CN"/>
            </w:rPr>
            <w:t>）社区回收网点</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_Toc12428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_Toc20867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二</w:t>
          </w:r>
          <w:r>
            <w:rPr>
              <w:rFonts w:hint="eastAsia" w:ascii="仿宋_GB2312" w:hAnsi="仿宋_GB2312" w:eastAsia="仿宋_GB2312" w:cs="仿宋_GB2312"/>
              <w:bCs w:val="0"/>
              <w:szCs w:val="32"/>
              <w:highlight w:val="none"/>
              <w:lang w:eastAsia="zh-CN"/>
            </w:rPr>
            <w:t>）中转站</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_Toc20867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_Toc24380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三</w:t>
          </w:r>
          <w:r>
            <w:rPr>
              <w:rFonts w:hint="eastAsia" w:ascii="仿宋_GB2312" w:hAnsi="仿宋_GB2312" w:eastAsia="仿宋_GB2312" w:cs="仿宋_GB2312"/>
              <w:bCs w:val="0"/>
              <w:szCs w:val="32"/>
              <w:highlight w:val="none"/>
              <w:lang w:eastAsia="zh-CN"/>
            </w:rPr>
            <w:t>）分拣中心</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_Toc24380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- 29 -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_Toc32588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bCs w:val="0"/>
              <w:szCs w:val="32"/>
              <w:highlight w:val="none"/>
              <w:lang w:val="en-US" w:eastAsia="zh-CN"/>
            </w:rPr>
            <w:t>四</w:t>
          </w:r>
          <w:r>
            <w:rPr>
              <w:rFonts w:hint="eastAsia" w:ascii="仿宋_GB2312" w:hAnsi="仿宋_GB2312" w:eastAsia="仿宋_GB2312" w:cs="仿宋_GB2312"/>
              <w:bCs w:val="0"/>
              <w:szCs w:val="32"/>
              <w:highlight w:val="none"/>
              <w:lang w:eastAsia="zh-CN"/>
            </w:rPr>
            <w:t>）综合利用基地（</w:t>
          </w:r>
          <w:r>
            <w:rPr>
              <w:rFonts w:hint="eastAsia" w:ascii="仿宋_GB2312" w:hAnsi="仿宋_GB2312" w:eastAsia="仿宋_GB2312" w:cs="仿宋_GB2312"/>
              <w:bCs w:val="0"/>
              <w:szCs w:val="32"/>
              <w:highlight w:val="none"/>
              <w:lang w:val="en-US" w:eastAsia="zh-CN"/>
            </w:rPr>
            <w:t>园区</w:t>
          </w:r>
          <w:r>
            <w:rPr>
              <w:rFonts w:hint="eastAsia" w:ascii="仿宋_GB2312" w:hAnsi="仿宋_GB2312" w:eastAsia="仿宋_GB2312" w:cs="仿宋_GB2312"/>
              <w:bCs w:val="0"/>
              <w:szCs w:val="32"/>
              <w:highlight w:val="none"/>
              <w:lang w:eastAsia="zh-CN"/>
            </w:rPr>
            <w:t>）</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_Toc32588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_Toc22673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第四章  再生资源社区回收网点规划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_Toc22673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_Toc4961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一、生活性再生资源社区回收网点设置</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_Toc4961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_Toc13191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（一）布局设计</w:t>
          </w:r>
          <w:r>
            <w:rPr>
              <w:rFonts w:hint="eastAsia" w:ascii="仿宋_GB2312" w:hAnsi="仿宋_GB2312" w:eastAsia="仿宋_GB2312" w:cs="仿宋_GB2312"/>
              <w:bCs w:val="0"/>
              <w:szCs w:val="32"/>
              <w:highlight w:val="none"/>
              <w:lang w:eastAsia="zh-CN"/>
            </w:rPr>
            <w:t> </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_Toc13191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- 31 -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_Toc13317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（二）建设引导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_Toc13317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- 32 -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_Toc22441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二、生产性再生资源社区回收网点设置</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_Toc22441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- 33 -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_Toc26006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（一）布局设计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_Toc26006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- 34 -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4"/>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_Toc22703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（二）建设引导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_Toc22703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- 34 -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_Toc21111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第五章  再生资源中转站规划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_Toc21111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_Toc11987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一、布局设计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_Toc11987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_Toc13266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二、建设引导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_Toc13266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_Toc12554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rPr>
            <w:t>第六章  再生资源分拣中心规划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_Toc12554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_Toc17781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一、布局设计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_Toc17781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_Toc4589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二、建设引导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_Toc4589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- 38 -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_Toc17805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 xml:space="preserve">第七章  </w:t>
          </w:r>
          <w:r>
            <w:rPr>
              <w:rFonts w:hint="eastAsia" w:ascii="仿宋_GB2312" w:hAnsi="仿宋_GB2312" w:eastAsia="仿宋_GB2312" w:cs="仿宋_GB2312"/>
              <w:szCs w:val="32"/>
              <w:highlight w:val="none"/>
              <w:lang w:eastAsia="zh-CN"/>
            </w:rPr>
            <w:t>再生资源综合利用基地</w:t>
          </w:r>
          <w:r>
            <w:rPr>
              <w:rFonts w:hint="eastAsia" w:ascii="仿宋_GB2312" w:hAnsi="仿宋_GB2312" w:eastAsia="仿宋_GB2312" w:cs="仿宋_GB2312"/>
              <w:szCs w:val="32"/>
              <w:highlight w:val="none"/>
            </w:rPr>
            <w:t>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_Toc17805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_Toc32002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一、布局设计</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_Toc32002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_Toc18257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二、建设引导</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_Toc18257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- 40 -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_Toc8013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第八章 全流程综合信息系统建设</w:t>
          </w:r>
          <w:r>
            <w:rPr>
              <w:rFonts w:hint="eastAsia" w:ascii="仿宋_GB2312" w:hAnsi="仿宋_GB2312" w:eastAsia="仿宋_GB2312" w:cs="仿宋_GB2312"/>
              <w:szCs w:val="32"/>
              <w:highlight w:val="none"/>
              <w:lang w:val="en-US" w:eastAsia="zh-CN"/>
            </w:rPr>
            <w:t>规划</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_Toc8013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- 43 -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_Toc6099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szCs w:val="32"/>
              <w:highlight w:val="none"/>
            </w:rPr>
            <w:t>第九章 再生资源网点规划保障措施</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_Toc6099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_Toc32068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一、</w:t>
          </w:r>
          <w:r>
            <w:rPr>
              <w:rFonts w:hint="eastAsia" w:ascii="仿宋_GB2312" w:hAnsi="仿宋_GB2312" w:eastAsia="仿宋_GB2312" w:cs="仿宋_GB2312"/>
              <w:bCs w:val="0"/>
              <w:szCs w:val="32"/>
              <w:highlight w:val="none"/>
            </w:rPr>
            <w:t>加强</w:t>
          </w:r>
          <w:r>
            <w:rPr>
              <w:rFonts w:hint="eastAsia" w:ascii="仿宋_GB2312" w:hAnsi="仿宋_GB2312" w:eastAsia="仿宋_GB2312" w:cs="仿宋_GB2312"/>
              <w:bCs w:val="0"/>
              <w:szCs w:val="32"/>
              <w:highlight w:val="none"/>
              <w:lang w:val="en-US" w:eastAsia="zh-CN"/>
            </w:rPr>
            <w:t>组织保障</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_Toc32068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- 46 -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_Toc11925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二、</w:t>
          </w:r>
          <w:r>
            <w:rPr>
              <w:rFonts w:hint="eastAsia" w:ascii="仿宋_GB2312" w:hAnsi="仿宋_GB2312" w:eastAsia="仿宋_GB2312" w:cs="仿宋_GB2312"/>
              <w:bCs w:val="0"/>
              <w:szCs w:val="32"/>
              <w:highlight w:val="none"/>
            </w:rPr>
            <w:t>完善政策</w:t>
          </w:r>
          <w:r>
            <w:rPr>
              <w:rFonts w:hint="eastAsia" w:ascii="仿宋_GB2312" w:hAnsi="仿宋_GB2312" w:eastAsia="仿宋_GB2312" w:cs="仿宋_GB2312"/>
              <w:bCs w:val="0"/>
              <w:szCs w:val="32"/>
              <w:highlight w:val="none"/>
              <w:lang w:val="en-US" w:eastAsia="zh-CN"/>
            </w:rPr>
            <w:t>支持</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_Toc11925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- 47 -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_Toc18855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三、</w:t>
          </w:r>
          <w:r>
            <w:rPr>
              <w:rFonts w:hint="eastAsia" w:ascii="仿宋_GB2312" w:hAnsi="仿宋_GB2312" w:eastAsia="仿宋_GB2312" w:cs="仿宋_GB2312"/>
              <w:bCs w:val="0"/>
              <w:szCs w:val="32"/>
              <w:highlight w:val="none"/>
            </w:rPr>
            <w:t>创新</w:t>
          </w:r>
          <w:r>
            <w:rPr>
              <w:rFonts w:hint="eastAsia" w:ascii="仿宋_GB2312" w:hAnsi="仿宋_GB2312" w:eastAsia="仿宋_GB2312" w:cs="仿宋_GB2312"/>
              <w:bCs w:val="0"/>
              <w:szCs w:val="32"/>
              <w:highlight w:val="none"/>
              <w:lang w:val="en-US" w:eastAsia="zh-CN"/>
            </w:rPr>
            <w:t>商业模式</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_Toc18855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_Toc12183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四、加强</w:t>
          </w:r>
          <w:r>
            <w:rPr>
              <w:rFonts w:hint="eastAsia" w:ascii="仿宋_GB2312" w:hAnsi="仿宋_GB2312" w:eastAsia="仿宋_GB2312" w:cs="仿宋_GB2312"/>
              <w:bCs w:val="0"/>
              <w:szCs w:val="32"/>
              <w:highlight w:val="none"/>
            </w:rPr>
            <w:t>技术创新</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_Toc12183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- 48 -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_Toc19396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五、打造标杆示范</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_Toc19396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- 49 -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bCs w:val="0"/>
              <w:color w:val="auto"/>
              <w:szCs w:val="44"/>
              <w:highlight w:val="none"/>
            </w:rPr>
            <w:fldChar w:fldCharType="begin"/>
          </w:r>
          <w:r>
            <w:rPr>
              <w:rFonts w:hint="eastAsia" w:ascii="仿宋_GB2312" w:hAnsi="仿宋_GB2312" w:eastAsia="仿宋_GB2312" w:cs="仿宋_GB2312"/>
              <w:bCs w:val="0"/>
              <w:szCs w:val="44"/>
              <w:highlight w:val="none"/>
            </w:rPr>
            <w:instrText xml:space="preserve"> HYPERLINK \l _Toc29427 </w:instrText>
          </w:r>
          <w:r>
            <w:rPr>
              <w:rFonts w:hint="eastAsia" w:ascii="仿宋_GB2312" w:hAnsi="仿宋_GB2312" w:eastAsia="仿宋_GB2312" w:cs="仿宋_GB2312"/>
              <w:bCs w:val="0"/>
              <w:szCs w:val="44"/>
              <w:highlight w:val="none"/>
            </w:rPr>
            <w:fldChar w:fldCharType="separate"/>
          </w:r>
          <w:r>
            <w:rPr>
              <w:rFonts w:hint="eastAsia" w:ascii="仿宋_GB2312" w:hAnsi="仿宋_GB2312" w:eastAsia="仿宋_GB2312" w:cs="仿宋_GB2312"/>
              <w:bCs w:val="0"/>
              <w:szCs w:val="32"/>
              <w:highlight w:val="none"/>
              <w:lang w:val="en-US" w:eastAsia="zh-CN"/>
            </w:rPr>
            <w:t>六、鼓励公众参与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_Toc29427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- 49 -</w:t>
          </w:r>
          <w:r>
            <w:rPr>
              <w:rFonts w:hint="eastAsia" w:ascii="仿宋_GB2312" w:hAnsi="仿宋_GB2312" w:eastAsia="仿宋_GB2312" w:cs="仿宋_GB2312"/>
            </w:rPr>
            <w:fldChar w:fldCharType="end"/>
          </w:r>
          <w:r>
            <w:rPr>
              <w:rFonts w:hint="eastAsia" w:ascii="仿宋_GB2312" w:hAnsi="仿宋_GB2312" w:eastAsia="仿宋_GB2312" w:cs="仿宋_GB2312"/>
              <w:bCs w:val="0"/>
              <w:color w:val="auto"/>
              <w:szCs w:val="44"/>
              <w:highlight w:val="none"/>
            </w:rPr>
            <w:fldChar w:fldCharType="end"/>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color w:val="auto"/>
              <w:sz w:val="44"/>
              <w:szCs w:val="44"/>
              <w:highlight w:val="none"/>
            </w:rPr>
          </w:pPr>
          <w:r>
            <w:rPr>
              <w:rFonts w:hint="eastAsia" w:ascii="仿宋_GB2312" w:hAnsi="仿宋_GB2312" w:eastAsia="仿宋_GB2312" w:cs="仿宋_GB2312"/>
              <w:bCs w:val="0"/>
              <w:color w:val="auto"/>
              <w:szCs w:val="44"/>
              <w:highlight w:val="none"/>
            </w:rPr>
            <w:fldChar w:fldCharType="end"/>
          </w:r>
        </w:p>
      </w:sdtContent>
    </w:sdt>
    <w:p>
      <w:pPr>
        <w:pageBreakBefore w:val="0"/>
        <w:widowControl w:val="0"/>
        <w:kinsoku/>
        <w:wordWrap/>
        <w:overflowPunct/>
        <w:topLinePunct w:val="0"/>
        <w:autoSpaceDE/>
        <w:autoSpaceDN/>
        <w:bidi w:val="0"/>
        <w:adjustRightInd w:val="0"/>
        <w:snapToGrid w:val="0"/>
        <w:spacing w:line="360" w:lineRule="auto"/>
        <w:ind w:right="0" w:rightChars="0"/>
        <w:jc w:val="center"/>
        <w:textAlignment w:val="auto"/>
        <w:rPr>
          <w:rFonts w:hint="eastAsia" w:ascii="方正小标宋_GBK" w:hAnsi="方正小标宋_GBK" w:eastAsia="方正小标宋_GBK" w:cs="方正小标宋_GBK"/>
          <w:b w:val="0"/>
          <w:bCs w:val="0"/>
          <w:color w:val="auto"/>
          <w:sz w:val="44"/>
          <w:szCs w:val="44"/>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eastAsia" w:ascii="方正小标宋_GBK" w:hAnsi="方正小标宋_GBK" w:eastAsia="方正小标宋_GBK" w:cs="方正小标宋_GBK"/>
          <w:b w:val="0"/>
          <w:bCs w:val="0"/>
          <w:color w:val="auto"/>
          <w:sz w:val="44"/>
          <w:szCs w:val="44"/>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center"/>
        <w:textAlignment w:val="auto"/>
        <w:outlineLvl w:val="9"/>
        <w:rPr>
          <w:rFonts w:hint="eastAsia" w:ascii="方正小标宋_GBK" w:hAnsi="方正小标宋_GBK" w:eastAsia="方正小标宋_GBK" w:cs="方正小标宋_GBK"/>
          <w:b w:val="0"/>
          <w:bCs w:val="0"/>
          <w:color w:val="auto"/>
          <w:sz w:val="44"/>
          <w:szCs w:val="44"/>
          <w:highlight w:val="none"/>
        </w:rPr>
        <w:sectPr>
          <w:footerReference r:id="rId4" w:type="default"/>
          <w:pgSz w:w="11906" w:h="16838"/>
          <w:pgMar w:top="1440" w:right="1800" w:bottom="1440" w:left="1800" w:header="851" w:footer="992" w:gutter="0"/>
          <w:pgNumType w:fmt="numberInDash"/>
          <w:cols w:space="720" w:num="1"/>
          <w:docGrid w:type="lines" w:linePitch="312" w:charSpace="0"/>
        </w:sectPr>
      </w:pPr>
      <w:bookmarkStart w:id="7" w:name="_Toc217"/>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jc w:val="center"/>
        <w:textAlignment w:val="auto"/>
        <w:outlineLvl w:val="9"/>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清城区再生资源回收网点规划</w:t>
      </w:r>
      <w:bookmarkEnd w:id="2"/>
      <w:bookmarkEnd w:id="3"/>
      <w:bookmarkEnd w:id="4"/>
      <w:bookmarkEnd w:id="7"/>
      <w:bookmarkStart w:id="8" w:name="_Toc4703"/>
      <w:bookmarkStart w:id="9" w:name="_Toc24873"/>
      <w:bookmarkStart w:id="10" w:name="_Toc28486"/>
      <w:bookmarkStart w:id="11" w:name="_Toc14725"/>
    </w:p>
    <w:p>
      <w:pPr>
        <w:keepNext w:val="0"/>
        <w:keepLines w:val="0"/>
        <w:pageBreakBefore w:val="0"/>
        <w:widowControl w:val="0"/>
        <w:kinsoku/>
        <w:wordWrap/>
        <w:overflowPunct/>
        <w:topLinePunct w:val="0"/>
        <w:autoSpaceDE/>
        <w:autoSpaceDN/>
        <w:bidi w:val="0"/>
        <w:adjustRightInd w:val="0"/>
        <w:snapToGrid w:val="0"/>
        <w:spacing w:after="313" w:afterLines="100" w:line="360" w:lineRule="auto"/>
        <w:ind w:right="0" w:rightChars="0"/>
        <w:jc w:val="center"/>
        <w:textAlignment w:val="auto"/>
        <w:outlineLvl w:val="9"/>
        <w:rPr>
          <w:rFonts w:hint="eastAsia" w:ascii="方正小标宋_GBK" w:hAnsi="方正小标宋_GBK" w:eastAsia="方正小标宋_GBK" w:cs="方正小标宋_GBK"/>
          <w:b w:val="0"/>
          <w:bCs w:val="0"/>
          <w:color w:val="auto"/>
          <w:sz w:val="44"/>
          <w:szCs w:val="44"/>
          <w:highlight w:val="none"/>
          <w:lang w:eastAsia="zh-CN"/>
        </w:rPr>
      </w:pPr>
      <w:r>
        <w:rPr>
          <w:rFonts w:hint="eastAsia" w:ascii="方正小标宋_GBK" w:hAnsi="方正小标宋_GBK" w:eastAsia="方正小标宋_GBK" w:cs="方正小标宋_GBK"/>
          <w:b w:val="0"/>
          <w:bCs w:val="0"/>
          <w:color w:val="auto"/>
          <w:sz w:val="44"/>
          <w:szCs w:val="44"/>
          <w:highlight w:val="none"/>
          <w:lang w:eastAsia="zh-CN"/>
        </w:rPr>
        <w:t>（</w:t>
      </w:r>
      <w:r>
        <w:rPr>
          <w:rFonts w:hint="eastAsia" w:ascii="方正小标宋_GBK" w:hAnsi="方正小标宋_GBK" w:eastAsia="方正小标宋_GBK" w:cs="方正小标宋_GBK"/>
          <w:b w:val="0"/>
          <w:bCs w:val="0"/>
          <w:color w:val="auto"/>
          <w:sz w:val="44"/>
          <w:szCs w:val="44"/>
          <w:highlight w:val="none"/>
          <w:lang w:val="en-US" w:eastAsia="zh-CN"/>
        </w:rPr>
        <w:t>2023—2025年</w:t>
      </w:r>
      <w:r>
        <w:rPr>
          <w:rFonts w:hint="eastAsia" w:ascii="方正小标宋_GBK" w:hAnsi="方正小标宋_GBK" w:eastAsia="方正小标宋_GBK" w:cs="方正小标宋_GBK"/>
          <w:b w:val="0"/>
          <w:bCs w:val="0"/>
          <w:color w:val="auto"/>
          <w:sz w:val="44"/>
          <w:szCs w:val="44"/>
          <w:highlight w:val="none"/>
          <w:lang w:eastAsia="zh-CN"/>
        </w:rPr>
        <w:t>）</w:t>
      </w:r>
      <w:bookmarkEnd w:id="5"/>
      <w:bookmarkEnd w:id="6"/>
      <w:bookmarkEnd w:id="8"/>
      <w:bookmarkEnd w:id="9"/>
      <w:bookmarkEnd w:id="10"/>
      <w:bookmarkEnd w:id="11"/>
    </w:p>
    <w:p>
      <w:pPr>
        <w:pStyle w:val="2"/>
        <w:keepNext/>
        <w:keepLines/>
        <w:pageBreakBefore w:val="0"/>
        <w:widowControl w:val="0"/>
        <w:kinsoku/>
        <w:wordWrap/>
        <w:overflowPunct/>
        <w:topLinePunct w:val="0"/>
        <w:autoSpaceDE/>
        <w:autoSpaceDN/>
        <w:bidi w:val="0"/>
        <w:adjustRightInd w:val="0"/>
        <w:snapToGrid w:val="0"/>
        <w:spacing w:before="469" w:beforeLines="150" w:after="469" w:afterLines="150" w:line="360" w:lineRule="auto"/>
        <w:ind w:right="0" w:rightChars="0" w:firstLine="0" w:firstLineChars="0"/>
        <w:jc w:val="center"/>
        <w:textAlignment w:val="auto"/>
        <w:outlineLvl w:val="0"/>
        <w:rPr>
          <w:rFonts w:hint="eastAsia" w:ascii="黑体" w:hAnsi="黑体" w:eastAsia="黑体" w:cs="黑体"/>
          <w:b w:val="0"/>
          <w:bCs w:val="0"/>
          <w:color w:val="auto"/>
          <w:sz w:val="32"/>
          <w:szCs w:val="32"/>
          <w:highlight w:val="none"/>
        </w:rPr>
      </w:pPr>
      <w:bookmarkStart w:id="12" w:name="_Toc4838"/>
      <w:bookmarkStart w:id="13" w:name="_Toc222911666"/>
      <w:bookmarkStart w:id="14" w:name="_Toc31039"/>
      <w:bookmarkStart w:id="15" w:name="_Toc20749"/>
      <w:bookmarkStart w:id="16" w:name="_Toc29279"/>
      <w:bookmarkStart w:id="17" w:name="_Toc11161"/>
      <w:bookmarkStart w:id="18" w:name="_Toc19407"/>
      <w:bookmarkStart w:id="19" w:name="_Toc14988"/>
      <w:bookmarkStart w:id="20" w:name="_Toc1592"/>
      <w:bookmarkStart w:id="21" w:name="_Toc3919"/>
      <w:r>
        <w:rPr>
          <w:rFonts w:hint="eastAsia" w:ascii="黑体" w:hAnsi="黑体" w:eastAsia="黑体" w:cs="黑体"/>
          <w:b w:val="0"/>
          <w:bCs w:val="0"/>
          <w:color w:val="auto"/>
          <w:sz w:val="32"/>
          <w:szCs w:val="32"/>
          <w:highlight w:val="none"/>
        </w:rPr>
        <w:t>第一章  总则</w:t>
      </w:r>
      <w:bookmarkEnd w:id="12"/>
      <w:bookmarkEnd w:id="13"/>
      <w:bookmarkEnd w:id="14"/>
      <w:bookmarkEnd w:id="15"/>
      <w:bookmarkEnd w:id="16"/>
      <w:bookmarkEnd w:id="17"/>
      <w:bookmarkEnd w:id="18"/>
      <w:bookmarkEnd w:id="19"/>
      <w:bookmarkEnd w:id="20"/>
      <w:bookmarkEnd w:id="21"/>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kern w:val="44"/>
          <w:sz w:val="32"/>
          <w:szCs w:val="32"/>
          <w:highlight w:val="none"/>
          <w:lang w:val="en-US" w:eastAsia="zh-CN" w:bidi="ar-SA"/>
        </w:rPr>
      </w:pPr>
      <w:bookmarkStart w:id="22" w:name="_Toc3514"/>
      <w:bookmarkStart w:id="23" w:name="_Toc3538"/>
      <w:bookmarkStart w:id="24" w:name="_Toc28577"/>
      <w:bookmarkStart w:id="25" w:name="_Toc7753"/>
      <w:bookmarkStart w:id="26" w:name="_Toc2730"/>
      <w:bookmarkStart w:id="27" w:name="_Toc1410"/>
      <w:bookmarkStart w:id="28" w:name="_Toc26991"/>
      <w:bookmarkStart w:id="29" w:name="_Toc24135"/>
      <w:bookmarkStart w:id="30" w:name="_Toc17722"/>
      <w:r>
        <w:rPr>
          <w:rFonts w:hint="eastAsia" w:ascii="黑体" w:hAnsi="黑体" w:eastAsia="黑体" w:cs="黑体"/>
          <w:b w:val="0"/>
          <w:bCs w:val="0"/>
          <w:color w:val="auto"/>
          <w:kern w:val="44"/>
          <w:sz w:val="32"/>
          <w:szCs w:val="32"/>
          <w:highlight w:val="none"/>
          <w:lang w:val="en-US" w:eastAsia="zh-CN" w:bidi="ar-SA"/>
        </w:rPr>
        <w:t>一、规划背景</w:t>
      </w:r>
      <w:bookmarkEnd w:id="22"/>
      <w:bookmarkEnd w:id="23"/>
      <w:bookmarkEnd w:id="24"/>
      <w:bookmarkEnd w:id="25"/>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2016年12月21日，习近平总书记在中央财经领导小组第十四次会议上指出：“普遍推行垃圾分类制度，关系13多亿人生活环境改善，关系垃圾能不能减量化、资源化、无害化处理，关系垃圾处理中的‘邻避’困局能不能从根本上破解。”2019年6月3日，习近平</w:t>
      </w:r>
      <w:r>
        <w:rPr>
          <w:rFonts w:hint="eastAsia" w:ascii="仿宋_GB2312" w:hAnsi="仿宋_GB2312" w:eastAsia="仿宋_GB2312" w:cs="仿宋_GB2312"/>
          <w:color w:val="auto"/>
          <w:sz w:val="32"/>
          <w:szCs w:val="32"/>
          <w:highlight w:val="none"/>
          <w:lang w:val="en-US" w:eastAsia="zh-CN"/>
        </w:rPr>
        <w:t>总书记就垃圾分类工作作出重要指示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要加快建立分类投放、分类收集、分类运输、分类处理的垃圾处理系统，形成以法治为基础、政府推动、全民参与、城乡统筹、因地制宜的垃圾分类制度，努力提高垃圾分类制度覆盖范围。</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城市垃圾“分类投放”是再生资源回收利用的关键前提，而城市垃圾有效分类后，考验的是“</w:t>
      </w:r>
      <w:r>
        <w:rPr>
          <w:rFonts w:hint="eastAsia" w:ascii="仿宋_GB2312" w:hAnsi="仿宋_GB2312" w:eastAsia="仿宋_GB2312" w:cs="仿宋_GB2312"/>
          <w:color w:val="auto"/>
          <w:sz w:val="32"/>
          <w:szCs w:val="32"/>
          <w:highlight w:val="none"/>
        </w:rPr>
        <w:t>分类收集、分类运输、分类处理</w:t>
      </w:r>
      <w:r>
        <w:rPr>
          <w:rFonts w:hint="eastAsia" w:ascii="仿宋_GB2312" w:hAnsi="仿宋_GB2312" w:eastAsia="仿宋_GB2312" w:cs="仿宋_GB2312"/>
          <w:color w:val="auto"/>
          <w:sz w:val="32"/>
          <w:szCs w:val="32"/>
          <w:highlight w:val="none"/>
          <w:lang w:val="en-US" w:eastAsia="zh-CN"/>
        </w:rPr>
        <w:t>”再生资源回收体系的构建。</w:t>
      </w:r>
      <w:r>
        <w:rPr>
          <w:rFonts w:hint="eastAsia" w:ascii="仿宋_GB2312" w:hAnsi="仿宋_GB2312" w:eastAsia="仿宋_GB2312" w:cs="仿宋_GB2312"/>
          <w:color w:val="auto"/>
          <w:sz w:val="32"/>
          <w:szCs w:val="32"/>
          <w:highlight w:val="none"/>
        </w:rPr>
        <w:t>统一规划、合理布局再生资源回收网点，</w:t>
      </w:r>
      <w:r>
        <w:rPr>
          <w:rFonts w:hint="eastAsia" w:ascii="仿宋_GB2312" w:hAnsi="仿宋_GB2312" w:eastAsia="仿宋_GB2312" w:cs="仿宋_GB2312"/>
          <w:color w:val="auto"/>
          <w:sz w:val="32"/>
          <w:szCs w:val="32"/>
          <w:highlight w:val="none"/>
          <w:lang w:val="en-US" w:eastAsia="zh-CN"/>
        </w:rPr>
        <w:t>是构建城市再生资源回收体系的“最后一公里”，做好垃圾“分类投放”的重要基础，也是关键一步。既着眼再生资源回收网点规划的当前，也放眼构建再生资源回收体系的长远，是清城区党委政府落实生态文明建设的重要工作任务。</w:t>
      </w: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2021年12月29日，经清远市人民政府同意，清远市商务局、清远市城市管理和综合执法局、清远市供销合作社联合印发了《清远市可回收物回收处理体系建设规划（2021—2025年）》。该规划明确指出，由各县（市、区）按照属地原则，做好辖区范围内社区回收网点的规划建设。清城区在该规划的框架下，结合实际情况，对垃圾分类后的可回收物的收集、分类、分拣、运输、回收、加工进行全产业链的重构和规划。为此，专门制定了本规划。</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31" w:name="_Toc2277"/>
      <w:bookmarkStart w:id="32" w:name="_Toc16434"/>
      <w:bookmarkStart w:id="33" w:name="_Toc25144"/>
      <w:bookmarkStart w:id="34" w:name="_Toc7157"/>
      <w:bookmarkStart w:id="35" w:name="_Toc11186"/>
      <w:bookmarkStart w:id="36" w:name="_Toc18970"/>
      <w:bookmarkStart w:id="37" w:name="_Toc4654"/>
      <w:bookmarkStart w:id="38" w:name="_Toc14019"/>
      <w:bookmarkStart w:id="39" w:name="_Toc995"/>
      <w:r>
        <w:rPr>
          <w:rFonts w:hint="eastAsia" w:ascii="楷体_GB2312" w:hAnsi="楷体_GB2312" w:eastAsia="楷体_GB2312" w:cs="楷体_GB2312"/>
          <w:b w:val="0"/>
          <w:bCs w:val="0"/>
          <w:color w:val="auto"/>
          <w:sz w:val="32"/>
          <w:szCs w:val="32"/>
          <w:highlight w:val="none"/>
          <w:lang w:val="en-US" w:eastAsia="zh-CN"/>
        </w:rPr>
        <w:t>（一）清城区再生资源回收的基础</w:t>
      </w:r>
      <w:bookmarkEnd w:id="31"/>
      <w:bookmarkEnd w:id="32"/>
      <w:bookmarkEnd w:id="33"/>
      <w:bookmarkEnd w:id="34"/>
      <w:bookmarkEnd w:id="35"/>
      <w:bookmarkEnd w:id="36"/>
      <w:bookmarkEnd w:id="37"/>
      <w:bookmarkEnd w:id="38"/>
      <w:bookmarkEnd w:id="39"/>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“大量生产、大量消费、大量废弃”的传统社会经济</w:t>
      </w:r>
      <w:r>
        <w:rPr>
          <w:rFonts w:hint="eastAsia" w:ascii="仿宋_GB2312" w:hAnsi="仿宋_GB2312" w:eastAsia="仿宋_GB2312" w:cs="仿宋_GB2312"/>
          <w:color w:val="auto"/>
          <w:sz w:val="32"/>
          <w:szCs w:val="32"/>
          <w:highlight w:val="none"/>
          <w:lang w:val="en-US" w:eastAsia="zh-CN"/>
        </w:rPr>
        <w:t>发展</w:t>
      </w:r>
      <w:r>
        <w:rPr>
          <w:rFonts w:hint="eastAsia" w:ascii="仿宋_GB2312" w:hAnsi="仿宋_GB2312" w:eastAsia="仿宋_GB2312" w:cs="仿宋_GB2312"/>
          <w:color w:val="auto"/>
          <w:sz w:val="32"/>
          <w:szCs w:val="32"/>
          <w:highlight w:val="none"/>
        </w:rPr>
        <w:t>模式产生的废弃物处理问题已成为我国当前面临的主要资源和环境问题之一，循环经济作为解决资源和环境</w:t>
      </w:r>
      <w:r>
        <w:rPr>
          <w:rFonts w:hint="eastAsia" w:ascii="仿宋_GB2312" w:hAnsi="仿宋_GB2312" w:eastAsia="仿宋_GB2312" w:cs="仿宋_GB2312"/>
          <w:color w:val="auto"/>
          <w:sz w:val="32"/>
          <w:szCs w:val="32"/>
          <w:highlight w:val="none"/>
          <w:lang w:val="en-US" w:eastAsia="zh-CN"/>
        </w:rPr>
        <w:t>问题</w:t>
      </w:r>
      <w:r>
        <w:rPr>
          <w:rFonts w:hint="eastAsia" w:ascii="仿宋_GB2312" w:hAnsi="仿宋_GB2312" w:eastAsia="仿宋_GB2312" w:cs="仿宋_GB2312"/>
          <w:color w:val="auto"/>
          <w:sz w:val="32"/>
          <w:szCs w:val="32"/>
          <w:highlight w:val="none"/>
        </w:rPr>
        <w:t xml:space="preserve">的有效模式，已得到世界各国的广泛认可。广东作为改革开放的先行者，再生资源回收利用行业也起步最早，随着我省资源节约型、环境友好型社会建设的深入推进，再生资源回收行业得到了快速发展。 </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改革开放以来，清远市主要依托清城区石角、龙塘两镇，以进口</w:t>
      </w:r>
      <w:r>
        <w:rPr>
          <w:rFonts w:hint="eastAsia" w:ascii="仿宋_GB2312" w:hAnsi="仿宋_GB2312" w:eastAsia="仿宋_GB2312" w:cs="仿宋_GB2312"/>
          <w:color w:val="auto"/>
          <w:sz w:val="32"/>
          <w:szCs w:val="32"/>
          <w:highlight w:val="none"/>
        </w:rPr>
        <w:t>再生资源</w:t>
      </w:r>
      <w:r>
        <w:rPr>
          <w:rFonts w:hint="eastAsia" w:ascii="仿宋_GB2312" w:hAnsi="仿宋_GB2312" w:eastAsia="仿宋_GB2312" w:cs="仿宋_GB2312"/>
          <w:color w:val="auto"/>
          <w:sz w:val="32"/>
          <w:szCs w:val="32"/>
          <w:highlight w:val="none"/>
          <w:lang w:val="en-US" w:eastAsia="zh-CN"/>
        </w:rPr>
        <w:t>带动再生资源</w:t>
      </w:r>
      <w:r>
        <w:rPr>
          <w:rFonts w:hint="eastAsia" w:ascii="仿宋_GB2312" w:hAnsi="仿宋_GB2312" w:eastAsia="仿宋_GB2312" w:cs="仿宋_GB2312"/>
          <w:color w:val="auto"/>
          <w:sz w:val="32"/>
          <w:szCs w:val="32"/>
          <w:highlight w:val="none"/>
        </w:rPr>
        <w:t>行业</w:t>
      </w:r>
      <w:r>
        <w:rPr>
          <w:rFonts w:hint="eastAsia" w:ascii="仿宋_GB2312" w:hAnsi="仿宋_GB2312" w:eastAsia="仿宋_GB2312" w:cs="仿宋_GB2312"/>
          <w:color w:val="auto"/>
          <w:sz w:val="32"/>
          <w:szCs w:val="32"/>
          <w:highlight w:val="none"/>
          <w:lang w:val="en-US" w:eastAsia="zh-CN"/>
        </w:rPr>
        <w:t>发展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形成了清远市再生资源“拆解——加工——粗加工——深加工”</w:t>
      </w:r>
      <w:r>
        <w:rPr>
          <w:rFonts w:hint="eastAsia" w:ascii="仿宋_GB2312" w:hAnsi="仿宋_GB2312" w:eastAsia="仿宋_GB2312" w:cs="仿宋_GB2312"/>
          <w:color w:val="auto"/>
          <w:sz w:val="32"/>
          <w:szCs w:val="32"/>
          <w:highlight w:val="none"/>
        </w:rPr>
        <w:t>完整的产业链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经过四十多年的发展，清远市已成为我国再生资源重要的</w:t>
      </w:r>
      <w:r>
        <w:rPr>
          <w:rFonts w:hint="eastAsia" w:ascii="仿宋_GB2312" w:hAnsi="仿宋_GB2312" w:eastAsia="仿宋_GB2312" w:cs="仿宋_GB2312"/>
          <w:color w:val="auto"/>
          <w:sz w:val="32"/>
          <w:szCs w:val="32"/>
          <w:highlight w:val="none"/>
        </w:rPr>
        <w:t>拆解</w:t>
      </w:r>
      <w:r>
        <w:rPr>
          <w:rFonts w:hint="eastAsia" w:ascii="仿宋_GB2312" w:hAnsi="仿宋_GB2312" w:eastAsia="仿宋_GB2312" w:cs="仿宋_GB2312"/>
          <w:color w:val="auto"/>
          <w:sz w:val="32"/>
          <w:szCs w:val="32"/>
          <w:highlight w:val="none"/>
          <w:lang w:val="en-US" w:eastAsia="zh-CN"/>
        </w:rPr>
        <w:t>回收</w:t>
      </w:r>
      <w:r>
        <w:rPr>
          <w:rFonts w:hint="eastAsia" w:ascii="仿宋_GB2312" w:hAnsi="仿宋_GB2312" w:eastAsia="仿宋_GB2312" w:cs="仿宋_GB2312"/>
          <w:color w:val="auto"/>
          <w:sz w:val="32"/>
          <w:szCs w:val="32"/>
          <w:highlight w:val="none"/>
        </w:rPr>
        <w:t>基地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废金属再生原料生产聚集地、</w:t>
      </w:r>
      <w:r>
        <w:rPr>
          <w:rFonts w:hint="eastAsia" w:ascii="仿宋_GB2312" w:hAnsi="仿宋_GB2312" w:eastAsia="仿宋_GB2312" w:cs="仿宋_GB2312"/>
          <w:color w:val="auto"/>
          <w:sz w:val="32"/>
          <w:szCs w:val="32"/>
          <w:highlight w:val="none"/>
        </w:rPr>
        <w:t>再生资源集散</w:t>
      </w:r>
      <w:r>
        <w:rPr>
          <w:rFonts w:hint="eastAsia" w:ascii="仿宋_GB2312" w:hAnsi="仿宋_GB2312" w:eastAsia="仿宋_GB2312" w:cs="仿宋_GB2312"/>
          <w:color w:val="auto"/>
          <w:sz w:val="32"/>
          <w:szCs w:val="32"/>
          <w:highlight w:val="none"/>
          <w:lang w:val="en-US" w:eastAsia="zh-CN"/>
        </w:rPr>
        <w:t>交易</w:t>
      </w:r>
      <w:r>
        <w:rPr>
          <w:rFonts w:hint="eastAsia" w:ascii="仿宋_GB2312" w:hAnsi="仿宋_GB2312" w:eastAsia="仿宋_GB2312" w:cs="仿宋_GB2312"/>
          <w:color w:val="auto"/>
          <w:sz w:val="32"/>
          <w:szCs w:val="32"/>
          <w:highlight w:val="none"/>
        </w:rPr>
        <w:t>市场。</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为了规范再生资源</w:t>
      </w:r>
      <w:r>
        <w:rPr>
          <w:rFonts w:hint="eastAsia" w:ascii="仿宋_GB2312" w:hAnsi="仿宋_GB2312" w:eastAsia="仿宋_GB2312" w:cs="仿宋_GB2312"/>
          <w:color w:val="auto"/>
          <w:sz w:val="32"/>
          <w:szCs w:val="32"/>
          <w:highlight w:val="none"/>
          <w:lang w:val="en-US" w:eastAsia="zh-CN"/>
        </w:rPr>
        <w:t>行业</w:t>
      </w:r>
      <w:r>
        <w:rPr>
          <w:rFonts w:hint="eastAsia" w:ascii="仿宋_GB2312" w:hAnsi="仿宋_GB2312" w:eastAsia="仿宋_GB2312" w:cs="仿宋_GB2312"/>
          <w:color w:val="auto"/>
          <w:sz w:val="32"/>
          <w:szCs w:val="32"/>
          <w:highlight w:val="none"/>
        </w:rPr>
        <w:t>的有序发展，引导再生资源经营企业入园经营，进行有效管理，2005年3月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中国再生资源开发</w:t>
      </w:r>
      <w:r>
        <w:rPr>
          <w:rFonts w:hint="eastAsia" w:ascii="仿宋_GB2312" w:hAnsi="仿宋_GB2312" w:eastAsia="仿宋_GB2312" w:cs="仿宋_GB2312"/>
          <w:color w:val="auto"/>
          <w:sz w:val="32"/>
          <w:szCs w:val="32"/>
          <w:highlight w:val="none"/>
          <w:lang w:val="en-US" w:eastAsia="zh-CN"/>
        </w:rPr>
        <w:t>有限</w:t>
      </w:r>
      <w:r>
        <w:rPr>
          <w:rFonts w:hint="eastAsia" w:ascii="仿宋_GB2312" w:hAnsi="仿宋_GB2312" w:eastAsia="仿宋_GB2312" w:cs="仿宋_GB2312"/>
          <w:color w:val="auto"/>
          <w:sz w:val="32"/>
          <w:szCs w:val="32"/>
          <w:highlight w:val="none"/>
        </w:rPr>
        <w:t>公司在</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石角镇牵头组建了清远华清再生资源投资开发有限公司，并在2006年规划</w:t>
      </w:r>
      <w:r>
        <w:rPr>
          <w:rFonts w:hint="eastAsia" w:ascii="仿宋_GB2312" w:hAnsi="仿宋_GB2312" w:eastAsia="仿宋_GB2312" w:cs="仿宋_GB2312"/>
          <w:color w:val="auto"/>
          <w:sz w:val="32"/>
          <w:szCs w:val="32"/>
          <w:highlight w:val="none"/>
          <w:lang w:val="en-US" w:eastAsia="zh-CN"/>
        </w:rPr>
        <w:t>建设，</w:t>
      </w:r>
      <w:r>
        <w:rPr>
          <w:rFonts w:hint="eastAsia" w:ascii="仿宋_GB2312" w:hAnsi="仿宋_GB2312" w:eastAsia="仿宋_GB2312" w:cs="仿宋_GB2312"/>
          <w:color w:val="auto"/>
          <w:sz w:val="32"/>
          <w:szCs w:val="32"/>
          <w:highlight w:val="none"/>
        </w:rPr>
        <w:t>于2015年建成投产，三期规划实现了循环利用各类“城市矿产”废铜、废钢铁、废铝、废塑料及其他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分别为</w:t>
      </w:r>
      <w:r>
        <w:rPr>
          <w:rFonts w:hint="eastAsia" w:ascii="仿宋_GB2312" w:hAnsi="仿宋_GB2312" w:eastAsia="仿宋_GB2312" w:cs="仿宋_GB2312"/>
          <w:color w:val="auto"/>
          <w:sz w:val="32"/>
          <w:szCs w:val="32"/>
          <w:highlight w:val="none"/>
          <w:lang w:val="en-US" w:eastAsia="zh-CN"/>
        </w:rPr>
        <w:t>130</w:t>
      </w:r>
      <w:r>
        <w:rPr>
          <w:rFonts w:hint="eastAsia" w:ascii="仿宋_GB2312" w:hAnsi="仿宋_GB2312" w:eastAsia="仿宋_GB2312" w:cs="仿宋_GB2312"/>
          <w:color w:val="auto"/>
          <w:sz w:val="32"/>
          <w:szCs w:val="32"/>
          <w:highlight w:val="none"/>
        </w:rPr>
        <w:t>万吨、</w:t>
      </w:r>
      <w:r>
        <w:rPr>
          <w:rFonts w:hint="eastAsia" w:ascii="仿宋_GB2312" w:hAnsi="仿宋_GB2312" w:eastAsia="仿宋_GB2312" w:cs="仿宋_GB2312"/>
          <w:color w:val="auto"/>
          <w:sz w:val="32"/>
          <w:szCs w:val="32"/>
          <w:highlight w:val="none"/>
          <w:lang w:val="en-US" w:eastAsia="zh-CN"/>
        </w:rPr>
        <w:t>125</w:t>
      </w:r>
      <w:r>
        <w:rPr>
          <w:rFonts w:hint="eastAsia" w:ascii="仿宋_GB2312" w:hAnsi="仿宋_GB2312" w:eastAsia="仿宋_GB2312" w:cs="仿宋_GB2312"/>
          <w:color w:val="auto"/>
          <w:sz w:val="32"/>
          <w:szCs w:val="32"/>
          <w:highlight w:val="none"/>
        </w:rPr>
        <w:t>万吨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95万吨</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val="en-US" w:eastAsia="zh-CN"/>
        </w:rPr>
        <w:t>90</w:t>
      </w:r>
      <w:r>
        <w:rPr>
          <w:rFonts w:hint="eastAsia" w:ascii="仿宋_GB2312" w:hAnsi="仿宋_GB2312" w:eastAsia="仿宋_GB2312" w:cs="仿宋_GB2312"/>
          <w:color w:val="auto"/>
          <w:sz w:val="32"/>
          <w:szCs w:val="32"/>
          <w:highlight w:val="none"/>
        </w:rPr>
        <w:t>万吨。</w:t>
      </w:r>
      <w:r>
        <w:rPr>
          <w:rFonts w:hint="eastAsia" w:ascii="仿宋_GB2312" w:hAnsi="仿宋_GB2312" w:eastAsia="仿宋_GB2312" w:cs="仿宋_GB2312"/>
          <w:color w:val="auto"/>
          <w:sz w:val="32"/>
          <w:szCs w:val="32"/>
          <w:highlight w:val="none"/>
          <w:lang w:val="en-US" w:eastAsia="zh-CN"/>
        </w:rPr>
        <w:t>至此，清城区开启了再生资源“圈区管理”的新模式，有效地规范了行业健康有序发展。再生资源回收、加工、利用已经</w:t>
      </w:r>
      <w:r>
        <w:rPr>
          <w:rFonts w:hint="eastAsia" w:ascii="仿宋_GB2312" w:hAnsi="仿宋_GB2312" w:eastAsia="仿宋_GB2312" w:cs="仿宋_GB2312"/>
          <w:color w:val="auto"/>
          <w:sz w:val="32"/>
          <w:szCs w:val="32"/>
          <w:highlight w:val="none"/>
        </w:rPr>
        <w:t>形成一定的产业集聚规模，在清远市的</w:t>
      </w:r>
      <w:r>
        <w:rPr>
          <w:rFonts w:hint="eastAsia" w:ascii="仿宋_GB2312" w:hAnsi="仿宋_GB2312" w:eastAsia="仿宋_GB2312" w:cs="仿宋_GB2312"/>
          <w:color w:val="auto"/>
          <w:sz w:val="32"/>
          <w:szCs w:val="32"/>
          <w:highlight w:val="none"/>
          <w:lang w:val="en-US" w:eastAsia="zh-CN"/>
        </w:rPr>
        <w:t>社会</w:t>
      </w:r>
      <w:r>
        <w:rPr>
          <w:rFonts w:hint="eastAsia" w:ascii="仿宋_GB2312" w:hAnsi="仿宋_GB2312" w:eastAsia="仿宋_GB2312" w:cs="仿宋_GB2312"/>
          <w:color w:val="auto"/>
          <w:sz w:val="32"/>
          <w:szCs w:val="32"/>
          <w:highlight w:val="none"/>
        </w:rPr>
        <w:t>经济发展中发挥了重要作用。</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但随着经济的发展，人民生活水平的提高，特别是城市的快速发展与扩张，生产和生活废旧物资日益增加，再生资源回收</w:t>
      </w:r>
      <w:r>
        <w:rPr>
          <w:rFonts w:hint="eastAsia" w:ascii="仿宋_GB2312" w:hAnsi="仿宋_GB2312" w:eastAsia="仿宋_GB2312" w:cs="仿宋_GB2312"/>
          <w:color w:val="auto"/>
          <w:sz w:val="32"/>
          <w:szCs w:val="32"/>
          <w:highlight w:val="none"/>
          <w:lang w:val="en-US" w:eastAsia="zh-CN"/>
        </w:rPr>
        <w:t>加工</w:t>
      </w:r>
      <w:r>
        <w:rPr>
          <w:rFonts w:hint="eastAsia" w:ascii="仿宋_GB2312" w:hAnsi="仿宋_GB2312" w:eastAsia="仿宋_GB2312" w:cs="仿宋_GB2312"/>
          <w:color w:val="auto"/>
          <w:sz w:val="32"/>
          <w:szCs w:val="32"/>
          <w:highlight w:val="none"/>
        </w:rPr>
        <w:t>利用工作任务越来越繁重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建立清城区再生资源行业有效监督管理体制迫在眉睫</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特别是工业园区和城市再生资源回收行业缺乏统一规划和规范管理，给城市管理、环境保护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资源综合利用等方面带来了不利影响。</w:t>
      </w:r>
    </w:p>
    <w:p>
      <w:pPr>
        <w:keepNext w:val="0"/>
        <w:keepLines w:val="0"/>
        <w:pageBreakBefore w:val="0"/>
        <w:widowControl w:val="0"/>
        <w:kinsoku/>
        <w:wordWrap/>
        <w:overflowPunct/>
        <w:topLinePunct w:val="0"/>
        <w:autoSpaceDE/>
        <w:autoSpaceDN/>
        <w:bidi w:val="0"/>
        <w:adjustRightInd w:val="0"/>
        <w:snapToGrid w:val="0"/>
        <w:spacing w:before="313" w:beforeLines="100" w:line="480" w:lineRule="exact"/>
        <w:ind w:right="0" w:rightChars="0" w:firstLine="0" w:firstLineChars="0"/>
        <w:jc w:val="center"/>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表1 2019—2022年清城区主要再生资源产出量（单位：吨）</w:t>
      </w:r>
    </w:p>
    <w:tbl>
      <w:tblPr>
        <w:tblStyle w:val="10"/>
        <w:tblW w:w="8652"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065"/>
        <w:gridCol w:w="1065"/>
        <w:gridCol w:w="1065"/>
        <w:gridCol w:w="1065"/>
        <w:gridCol w:w="1065"/>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9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年份</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废纸</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废塑料</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废钢铁</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废铜铝</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废木质</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废玻璃</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9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2019年</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21700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14900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26400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17100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2600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1800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84500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9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2020年</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23000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15600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27500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17600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2730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1870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88300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9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2021年</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24300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16300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28600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18100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2860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1940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kern w:val="2"/>
                <w:sz w:val="28"/>
                <w:szCs w:val="28"/>
                <w:highlight w:val="none"/>
                <w:vertAlign w:val="baseline"/>
                <w:lang w:val="en-US" w:eastAsia="zh-CN" w:bidi="ar-SA"/>
              </w:rPr>
            </w:pPr>
            <w:r>
              <w:rPr>
                <w:rFonts w:hint="eastAsia" w:ascii="仿宋_GB2312" w:hAnsi="仿宋_GB2312" w:eastAsia="仿宋_GB2312" w:cs="仿宋_GB2312"/>
                <w:color w:val="auto"/>
                <w:sz w:val="28"/>
                <w:szCs w:val="28"/>
                <w:highlight w:val="none"/>
                <w:vertAlign w:val="baseline"/>
                <w:lang w:val="en-US" w:eastAsia="zh-CN"/>
              </w:rPr>
              <w:t>92100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9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2022年</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25600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17000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29700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18600</w:t>
            </w:r>
          </w:p>
        </w:tc>
        <w:tc>
          <w:tcPr>
            <w:tcW w:w="1065"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2990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2010</w:t>
            </w:r>
          </w:p>
        </w:tc>
        <w:tc>
          <w:tcPr>
            <w:tcW w:w="1066" w:type="dxa"/>
            <w:noWrap w:val="0"/>
            <w:vAlign w:val="top"/>
          </w:tcPr>
          <w:p>
            <w:pPr>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95900</w:t>
            </w:r>
          </w:p>
        </w:tc>
      </w:tr>
    </w:tbl>
    <w:p>
      <w:pPr>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b/>
          <w:bCs/>
          <w:color w:val="auto"/>
          <w:sz w:val="24"/>
          <w:szCs w:val="24"/>
          <w:highlight w:val="none"/>
          <w:lang w:val="en-US" w:eastAsia="zh-CN"/>
        </w:rPr>
        <w:t>备注：</w:t>
      </w:r>
      <w:r>
        <w:rPr>
          <w:rFonts w:hint="eastAsia" w:ascii="仿宋_GB2312" w:hAnsi="仿宋_GB2312" w:eastAsia="仿宋_GB2312" w:cs="仿宋_GB2312"/>
          <w:color w:val="auto"/>
          <w:sz w:val="24"/>
          <w:szCs w:val="24"/>
          <w:highlight w:val="none"/>
          <w:lang w:val="en-US" w:eastAsia="zh-CN"/>
        </w:rPr>
        <w:t>通过市场调研，并对标参考省内生产总值与人口数量相仿的</w:t>
      </w:r>
      <w:r>
        <w:rPr>
          <w:rFonts w:hint="eastAsia" w:ascii="仿宋_GB2312" w:hAnsi="仿宋_GB2312" w:eastAsia="仿宋_GB2312" w:cs="仿宋_GB2312"/>
          <w:color w:val="auto"/>
          <w:sz w:val="24"/>
          <w:szCs w:val="24"/>
          <w:highlight w:val="none"/>
          <w:u w:val="none"/>
          <w:lang w:val="en-US" w:eastAsia="zh-CN"/>
        </w:rPr>
        <w:t>肇庆</w:t>
      </w:r>
      <w:r>
        <w:rPr>
          <w:rFonts w:hint="eastAsia" w:ascii="仿宋_GB2312" w:hAnsi="仿宋_GB2312" w:eastAsia="仿宋_GB2312" w:cs="仿宋_GB2312"/>
          <w:color w:val="auto"/>
          <w:sz w:val="24"/>
          <w:szCs w:val="24"/>
          <w:highlight w:val="none"/>
          <w:lang w:val="en-US" w:eastAsia="zh-CN"/>
        </w:rPr>
        <w:t>地区，结合我区部分数据进行估算。</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40" w:name="_Toc21484"/>
      <w:bookmarkStart w:id="41" w:name="_Toc4716"/>
      <w:bookmarkStart w:id="42" w:name="_Toc13811"/>
      <w:bookmarkStart w:id="43" w:name="_Toc3469"/>
      <w:bookmarkStart w:id="44" w:name="_Toc11643"/>
      <w:bookmarkStart w:id="45" w:name="_Toc4374"/>
      <w:bookmarkStart w:id="46" w:name="_Toc15568"/>
      <w:bookmarkStart w:id="47" w:name="_Toc24817"/>
      <w:bookmarkStart w:id="48" w:name="_Toc22971"/>
      <w:r>
        <w:rPr>
          <w:rFonts w:hint="eastAsia" w:ascii="楷体_GB2312" w:hAnsi="楷体_GB2312" w:eastAsia="楷体_GB2312" w:cs="楷体_GB2312"/>
          <w:b w:val="0"/>
          <w:bCs w:val="0"/>
          <w:color w:val="auto"/>
          <w:sz w:val="32"/>
          <w:szCs w:val="32"/>
          <w:highlight w:val="none"/>
          <w:lang w:val="en-US" w:eastAsia="zh-CN"/>
        </w:rPr>
        <w:t>（二）清城区再生资源回收网点现状</w:t>
      </w:r>
      <w:bookmarkEnd w:id="40"/>
      <w:bookmarkEnd w:id="41"/>
      <w:bookmarkEnd w:id="42"/>
      <w:bookmarkEnd w:id="43"/>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改革开放以来，</w:t>
      </w:r>
      <w:r>
        <w:rPr>
          <w:rFonts w:hint="eastAsia" w:ascii="仿宋_GB2312" w:hAnsi="仿宋_GB2312" w:eastAsia="仿宋_GB2312" w:cs="仿宋_GB2312"/>
          <w:color w:val="auto"/>
          <w:sz w:val="32"/>
          <w:szCs w:val="32"/>
          <w:highlight w:val="none"/>
          <w:lang w:val="en-US" w:eastAsia="zh-CN"/>
        </w:rPr>
        <w:t>随着</w:t>
      </w:r>
      <w:r>
        <w:rPr>
          <w:rFonts w:hint="eastAsia" w:ascii="仿宋_GB2312" w:hAnsi="仿宋_GB2312" w:eastAsia="仿宋_GB2312" w:cs="仿宋_GB2312"/>
          <w:color w:val="auto"/>
          <w:sz w:val="32"/>
          <w:szCs w:val="32"/>
          <w:highlight w:val="none"/>
        </w:rPr>
        <w:t>清远市经济社会快速发展，再生资源的产出量也在迅速增加，</w:t>
      </w:r>
      <w:r>
        <w:rPr>
          <w:rFonts w:hint="eastAsia" w:ascii="仿宋_GB2312" w:hAnsi="仿宋_GB2312" w:eastAsia="仿宋_GB2312" w:cs="仿宋_GB2312"/>
          <w:color w:val="auto"/>
          <w:sz w:val="32"/>
          <w:szCs w:val="32"/>
          <w:highlight w:val="none"/>
          <w:lang w:val="en-US" w:eastAsia="zh-CN"/>
        </w:rPr>
        <w:t>种类</w:t>
      </w:r>
      <w:r>
        <w:rPr>
          <w:rFonts w:hint="eastAsia" w:ascii="仿宋_GB2312" w:hAnsi="仿宋_GB2312" w:eastAsia="仿宋_GB2312" w:cs="仿宋_GB2312"/>
          <w:color w:val="auto"/>
          <w:sz w:val="32"/>
          <w:szCs w:val="32"/>
          <w:highlight w:val="none"/>
        </w:rPr>
        <w:t>主要有废纸、废塑料、废钢铁、废铜铝、废玻璃、废木质、废织物，废橡胶、废电子产品等。</w:t>
      </w:r>
      <w:r>
        <w:rPr>
          <w:rFonts w:hint="eastAsia" w:ascii="仿宋_GB2312" w:hAnsi="仿宋_GB2312" w:eastAsia="仿宋_GB2312" w:cs="仿宋_GB2312"/>
          <w:color w:val="auto"/>
          <w:sz w:val="32"/>
          <w:szCs w:val="32"/>
          <w:highlight w:val="none"/>
          <w:lang w:val="en-US" w:eastAsia="zh-CN"/>
        </w:rPr>
        <w:t>按照来源渠道，</w:t>
      </w:r>
      <w:r>
        <w:rPr>
          <w:rFonts w:hint="eastAsia" w:ascii="仿宋_GB2312" w:hAnsi="仿宋_GB2312" w:eastAsia="仿宋_GB2312" w:cs="仿宋_GB2312"/>
          <w:color w:val="auto"/>
          <w:sz w:val="32"/>
          <w:szCs w:val="32"/>
          <w:highlight w:val="none"/>
        </w:rPr>
        <w:t>再生资源分为</w:t>
      </w:r>
      <w:r>
        <w:rPr>
          <w:rFonts w:hint="eastAsia" w:ascii="仿宋_GB2312" w:hAnsi="仿宋_GB2312" w:eastAsia="仿宋_GB2312" w:cs="仿宋_GB2312"/>
          <w:color w:val="auto"/>
          <w:sz w:val="32"/>
          <w:szCs w:val="32"/>
          <w:highlight w:val="none"/>
          <w:lang w:val="en-US" w:eastAsia="zh-CN"/>
        </w:rPr>
        <w:t>生产性再生资源、生活性再生资源和其他特定废旧物品三类</w:t>
      </w: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再生资源的分布及回收特点，再生资源的回收渠道主要有以下三种：</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再生资源回收企业在居民社区内设社区回收站，社区的居民直接将</w:t>
      </w:r>
      <w:r>
        <w:rPr>
          <w:rFonts w:hint="eastAsia" w:ascii="仿宋_GB2312" w:hAnsi="仿宋_GB2312" w:eastAsia="仿宋_GB2312" w:cs="仿宋_GB2312"/>
          <w:color w:val="auto"/>
          <w:sz w:val="32"/>
          <w:szCs w:val="32"/>
          <w:highlight w:val="none"/>
          <w:lang w:val="en-US" w:eastAsia="zh-CN"/>
        </w:rPr>
        <w:t>废弃的再生资源</w:t>
      </w:r>
      <w:r>
        <w:rPr>
          <w:rFonts w:hint="eastAsia" w:ascii="仿宋_GB2312" w:hAnsi="仿宋_GB2312" w:eastAsia="仿宋_GB2312" w:cs="仿宋_GB2312"/>
          <w:color w:val="auto"/>
          <w:sz w:val="32"/>
          <w:szCs w:val="32"/>
          <w:highlight w:val="none"/>
        </w:rPr>
        <w:t>卖给社区回收站，再由社区回收站将收购的</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分类运送至</w:t>
      </w:r>
      <w:r>
        <w:rPr>
          <w:rFonts w:hint="eastAsia" w:ascii="仿宋_GB2312" w:hAnsi="仿宋_GB2312" w:eastAsia="仿宋_GB2312" w:cs="仿宋_GB2312"/>
          <w:color w:val="auto"/>
          <w:sz w:val="32"/>
          <w:szCs w:val="32"/>
          <w:highlight w:val="none"/>
          <w:lang w:val="en-US" w:eastAsia="zh-CN"/>
        </w:rPr>
        <w:t>更大的回收站，由回收站</w:t>
      </w:r>
      <w:r>
        <w:rPr>
          <w:rFonts w:hint="eastAsia" w:ascii="仿宋_GB2312" w:hAnsi="仿宋_GB2312" w:eastAsia="仿宋_GB2312" w:cs="仿宋_GB2312"/>
          <w:color w:val="auto"/>
          <w:sz w:val="32"/>
          <w:szCs w:val="32"/>
          <w:highlight w:val="none"/>
        </w:rPr>
        <w:t>存储批量运输到再生资源回收企业，但是规范建立固定的再生资源</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的居民社区占少数，废旧物资交售不便成为居民的普遍困扰。</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没有设置</w:t>
      </w:r>
      <w:r>
        <w:rPr>
          <w:rFonts w:hint="eastAsia" w:ascii="仿宋_GB2312" w:hAnsi="仿宋_GB2312" w:eastAsia="仿宋_GB2312" w:cs="仿宋_GB2312"/>
          <w:color w:val="auto"/>
          <w:sz w:val="32"/>
          <w:szCs w:val="32"/>
          <w:highlight w:val="none"/>
          <w:lang w:val="en-US" w:eastAsia="zh-CN"/>
        </w:rPr>
        <w:t>社区</w:t>
      </w:r>
      <w:r>
        <w:rPr>
          <w:rFonts w:hint="eastAsia" w:ascii="仿宋_GB2312" w:hAnsi="仿宋_GB2312" w:eastAsia="仿宋_GB2312" w:cs="仿宋_GB2312"/>
          <w:color w:val="auto"/>
          <w:sz w:val="32"/>
          <w:szCs w:val="32"/>
          <w:highlight w:val="none"/>
        </w:rPr>
        <w:t>回收站的小区居民，一般将</w:t>
      </w:r>
      <w:r>
        <w:rPr>
          <w:rFonts w:hint="eastAsia" w:ascii="仿宋_GB2312" w:hAnsi="仿宋_GB2312" w:eastAsia="仿宋_GB2312" w:cs="仿宋_GB2312"/>
          <w:color w:val="auto"/>
          <w:sz w:val="32"/>
          <w:szCs w:val="32"/>
          <w:highlight w:val="none"/>
          <w:lang w:val="en-US" w:eastAsia="zh-CN"/>
        </w:rPr>
        <w:t>废弃的再生资源</w:t>
      </w:r>
      <w:r>
        <w:rPr>
          <w:rFonts w:hint="eastAsia" w:ascii="仿宋_GB2312" w:hAnsi="仿宋_GB2312" w:eastAsia="仿宋_GB2312" w:cs="仿宋_GB2312"/>
          <w:color w:val="auto"/>
          <w:sz w:val="32"/>
          <w:szCs w:val="32"/>
          <w:highlight w:val="none"/>
        </w:rPr>
        <w:t>卖给个体流动</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，或者流动回收车。这些个体</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将收购的</w:t>
      </w:r>
      <w:r>
        <w:rPr>
          <w:rFonts w:hint="eastAsia" w:ascii="仿宋_GB2312" w:hAnsi="仿宋_GB2312" w:eastAsia="仿宋_GB2312" w:cs="仿宋_GB2312"/>
          <w:color w:val="auto"/>
          <w:sz w:val="32"/>
          <w:szCs w:val="32"/>
          <w:highlight w:val="none"/>
          <w:lang w:val="en-US" w:eastAsia="zh-CN"/>
        </w:rPr>
        <w:t>废弃再生资源</w:t>
      </w:r>
      <w:r>
        <w:rPr>
          <w:rFonts w:hint="eastAsia" w:ascii="仿宋_GB2312" w:hAnsi="仿宋_GB2312" w:eastAsia="仿宋_GB2312" w:cs="仿宋_GB2312"/>
          <w:color w:val="auto"/>
          <w:sz w:val="32"/>
          <w:szCs w:val="32"/>
          <w:highlight w:val="none"/>
        </w:rPr>
        <w:t>分类</w:t>
      </w:r>
      <w:r>
        <w:rPr>
          <w:rFonts w:hint="eastAsia" w:ascii="仿宋_GB2312" w:hAnsi="仿宋_GB2312" w:eastAsia="仿宋_GB2312" w:cs="仿宋_GB2312"/>
          <w:color w:val="auto"/>
          <w:sz w:val="32"/>
          <w:szCs w:val="32"/>
          <w:highlight w:val="none"/>
          <w:lang w:val="en-US" w:eastAsia="zh-CN"/>
        </w:rPr>
        <w:t>后，短暂储存到一定数量，再出售到再生资源</w:t>
      </w:r>
      <w:r>
        <w:rPr>
          <w:rFonts w:hint="eastAsia" w:ascii="仿宋_GB2312" w:hAnsi="仿宋_GB2312" w:eastAsia="仿宋_GB2312" w:cs="仿宋_GB2312"/>
          <w:color w:val="auto"/>
          <w:sz w:val="32"/>
          <w:szCs w:val="32"/>
          <w:highlight w:val="none"/>
        </w:rPr>
        <w:t>回收企业或者再生资源集散市场，最终进行再生资源的加工利用。</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3.再生资源回收企业</w:t>
      </w:r>
      <w:r>
        <w:rPr>
          <w:rFonts w:hint="eastAsia" w:ascii="仿宋_GB2312" w:hAnsi="仿宋_GB2312" w:eastAsia="仿宋_GB2312" w:cs="仿宋_GB2312"/>
          <w:color w:val="auto"/>
          <w:sz w:val="32"/>
          <w:szCs w:val="32"/>
          <w:highlight w:val="none"/>
        </w:rPr>
        <w:t>根据工业园区企业生产</w:t>
      </w:r>
      <w:r>
        <w:rPr>
          <w:rFonts w:hint="eastAsia" w:ascii="仿宋_GB2312" w:hAnsi="仿宋_GB2312" w:eastAsia="仿宋_GB2312" w:cs="仿宋_GB2312"/>
          <w:color w:val="auto"/>
          <w:sz w:val="32"/>
          <w:szCs w:val="32"/>
          <w:highlight w:val="none"/>
          <w:lang w:val="en-US" w:eastAsia="zh-CN"/>
        </w:rPr>
        <w:t>和工艺情况，按其产出的再生资源</w:t>
      </w:r>
      <w:r>
        <w:rPr>
          <w:rFonts w:hint="eastAsia" w:ascii="仿宋_GB2312" w:hAnsi="仿宋_GB2312" w:eastAsia="仿宋_GB2312" w:cs="仿宋_GB2312"/>
          <w:color w:val="auto"/>
          <w:sz w:val="32"/>
          <w:szCs w:val="32"/>
          <w:highlight w:val="none"/>
        </w:rPr>
        <w:t>的数量及种类，在企业周围合理设置</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，与企业签订回收再生资源协议，定期到企业收购</w:t>
      </w:r>
      <w:r>
        <w:rPr>
          <w:rFonts w:hint="eastAsia" w:ascii="仿宋_GB2312" w:hAnsi="仿宋_GB2312" w:eastAsia="仿宋_GB2312" w:cs="仿宋_GB2312"/>
          <w:color w:val="auto"/>
          <w:sz w:val="32"/>
          <w:szCs w:val="32"/>
          <w:highlight w:val="none"/>
          <w:lang w:val="en-US" w:eastAsia="zh-CN"/>
        </w:rPr>
        <w:t>废弃的再生资源</w:t>
      </w:r>
      <w:r>
        <w:rPr>
          <w:rFonts w:hint="eastAsia" w:ascii="仿宋_GB2312" w:hAnsi="仿宋_GB2312" w:eastAsia="仿宋_GB2312" w:cs="仿宋_GB2312"/>
          <w:color w:val="auto"/>
          <w:sz w:val="32"/>
          <w:szCs w:val="32"/>
          <w:highlight w:val="none"/>
        </w:rPr>
        <w:t>，再通过物资回收公司进入</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流通市场。</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49" w:name="_Toc10037"/>
      <w:bookmarkStart w:id="50" w:name="_Toc29441"/>
      <w:bookmarkStart w:id="51" w:name="_Toc10155"/>
      <w:bookmarkStart w:id="52" w:name="_Toc27406"/>
      <w:bookmarkStart w:id="53" w:name="_Toc10785"/>
      <w:bookmarkStart w:id="54" w:name="_Toc1990"/>
      <w:bookmarkStart w:id="55" w:name="_Toc30178"/>
      <w:bookmarkStart w:id="56" w:name="_Toc17229"/>
      <w:bookmarkStart w:id="57" w:name="_Toc25848"/>
      <w:r>
        <w:rPr>
          <w:rFonts w:hint="eastAsia" w:ascii="楷体_GB2312" w:hAnsi="楷体_GB2312" w:eastAsia="楷体_GB2312" w:cs="楷体_GB2312"/>
          <w:b w:val="0"/>
          <w:bCs w:val="0"/>
          <w:color w:val="auto"/>
          <w:sz w:val="32"/>
          <w:szCs w:val="32"/>
          <w:highlight w:val="none"/>
          <w:lang w:val="en-US" w:eastAsia="zh-CN"/>
        </w:rPr>
        <w:t>（三）清城区再生资源回收网点存在的问题</w:t>
      </w:r>
      <w:bookmarkEnd w:id="49"/>
      <w:bookmarkEnd w:id="50"/>
      <w:bookmarkEnd w:id="51"/>
      <w:bookmarkEnd w:id="52"/>
      <w:bookmarkEnd w:id="53"/>
      <w:bookmarkEnd w:id="54"/>
      <w:bookmarkEnd w:id="55"/>
      <w:bookmarkEnd w:id="56"/>
      <w:bookmarkEnd w:id="57"/>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rPr>
        <w:t>缺乏有效</w:t>
      </w:r>
      <w:r>
        <w:rPr>
          <w:rFonts w:hint="eastAsia" w:ascii="仿宋_GB2312" w:hAnsi="仿宋_GB2312" w:eastAsia="仿宋_GB2312" w:cs="仿宋_GB2312"/>
          <w:b/>
          <w:bCs/>
          <w:color w:val="auto"/>
          <w:sz w:val="32"/>
          <w:szCs w:val="32"/>
          <w:highlight w:val="none"/>
          <w:lang w:val="en-US" w:eastAsia="zh-CN"/>
        </w:rPr>
        <w:t>的监管机制</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随着经济体制和政府职能的转变，</w:t>
      </w:r>
      <w:r>
        <w:rPr>
          <w:rFonts w:hint="eastAsia" w:ascii="仿宋_GB2312" w:hAnsi="仿宋_GB2312" w:eastAsia="仿宋_GB2312" w:cs="仿宋_GB2312"/>
          <w:color w:val="auto"/>
          <w:sz w:val="32"/>
          <w:szCs w:val="32"/>
          <w:highlight w:val="none"/>
          <w:lang w:val="en-US" w:eastAsia="zh-CN"/>
        </w:rPr>
        <w:t>以及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放管服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改革的深化，</w:t>
      </w:r>
      <w:r>
        <w:rPr>
          <w:rFonts w:hint="eastAsia" w:ascii="仿宋_GB2312" w:hAnsi="仿宋_GB2312" w:eastAsia="仿宋_GB2312" w:cs="仿宋_GB2312"/>
          <w:color w:val="auto"/>
          <w:sz w:val="32"/>
          <w:szCs w:val="32"/>
          <w:highlight w:val="none"/>
        </w:rPr>
        <w:t>再生资源</w:t>
      </w:r>
      <w:r>
        <w:rPr>
          <w:rFonts w:hint="eastAsia" w:ascii="仿宋_GB2312" w:hAnsi="仿宋_GB2312" w:eastAsia="仿宋_GB2312" w:cs="仿宋_GB2312"/>
          <w:color w:val="auto"/>
          <w:sz w:val="32"/>
          <w:szCs w:val="32"/>
          <w:highlight w:val="none"/>
          <w:lang w:val="en-US" w:eastAsia="zh-CN"/>
        </w:rPr>
        <w:t>行业的监管从事前审批，改为加强事中监督和事后监管。行业进入门槛低，导致从业者素质不一。此外，行业监管</w:t>
      </w:r>
      <w:r>
        <w:rPr>
          <w:rFonts w:hint="eastAsia" w:ascii="仿宋_GB2312" w:hAnsi="仿宋_GB2312" w:eastAsia="仿宋_GB2312" w:cs="仿宋_GB2312"/>
          <w:color w:val="auto"/>
          <w:sz w:val="32"/>
          <w:szCs w:val="32"/>
          <w:highlight w:val="none"/>
        </w:rPr>
        <w:t>涉及多</w:t>
      </w:r>
      <w:r>
        <w:rPr>
          <w:rFonts w:hint="eastAsia" w:ascii="仿宋_GB2312" w:hAnsi="仿宋_GB2312" w:eastAsia="仿宋_GB2312" w:cs="仿宋_GB2312"/>
          <w:color w:val="auto"/>
          <w:sz w:val="32"/>
          <w:szCs w:val="32"/>
          <w:highlight w:val="none"/>
          <w:lang w:val="en-US" w:eastAsia="zh-CN"/>
        </w:rPr>
        <w:t>个职能</w:t>
      </w:r>
      <w:r>
        <w:rPr>
          <w:rFonts w:hint="eastAsia" w:ascii="仿宋_GB2312" w:hAnsi="仿宋_GB2312" w:eastAsia="仿宋_GB2312" w:cs="仿宋_GB2312"/>
          <w:color w:val="auto"/>
          <w:sz w:val="32"/>
          <w:szCs w:val="32"/>
          <w:highlight w:val="none"/>
        </w:rPr>
        <w:t>部门，</w:t>
      </w:r>
      <w:r>
        <w:rPr>
          <w:rFonts w:hint="eastAsia" w:ascii="仿宋_GB2312" w:hAnsi="仿宋_GB2312" w:eastAsia="仿宋_GB2312" w:cs="仿宋_GB2312"/>
          <w:color w:val="auto"/>
          <w:sz w:val="32"/>
          <w:szCs w:val="32"/>
          <w:highlight w:val="none"/>
          <w:lang w:val="en-US" w:eastAsia="zh-CN"/>
        </w:rPr>
        <w:t>管理</w:t>
      </w:r>
      <w:r>
        <w:rPr>
          <w:rFonts w:hint="eastAsia" w:ascii="仿宋_GB2312" w:hAnsi="仿宋_GB2312" w:eastAsia="仿宋_GB2312" w:cs="仿宋_GB2312"/>
          <w:color w:val="auto"/>
          <w:sz w:val="32"/>
          <w:szCs w:val="32"/>
          <w:highlight w:val="none"/>
        </w:rPr>
        <w:t>职责模糊，</w:t>
      </w:r>
      <w:r>
        <w:rPr>
          <w:rFonts w:hint="eastAsia" w:ascii="仿宋_GB2312" w:hAnsi="仿宋_GB2312" w:eastAsia="仿宋_GB2312" w:cs="仿宋_GB2312"/>
          <w:color w:val="auto"/>
          <w:sz w:val="32"/>
          <w:szCs w:val="32"/>
          <w:highlight w:val="none"/>
          <w:lang w:val="en-US" w:eastAsia="zh-CN"/>
        </w:rPr>
        <w:t>监督</w:t>
      </w:r>
      <w:r>
        <w:rPr>
          <w:rFonts w:hint="eastAsia" w:ascii="仿宋_GB2312" w:hAnsi="仿宋_GB2312" w:eastAsia="仿宋_GB2312" w:cs="仿宋_GB2312"/>
          <w:color w:val="auto"/>
          <w:sz w:val="32"/>
          <w:szCs w:val="32"/>
          <w:highlight w:val="none"/>
        </w:rPr>
        <w:t>不到位，再生资源</w:t>
      </w:r>
      <w:r>
        <w:rPr>
          <w:rFonts w:hint="eastAsia" w:ascii="仿宋_GB2312" w:hAnsi="仿宋_GB2312" w:eastAsia="仿宋_GB2312" w:cs="仿宋_GB2312"/>
          <w:color w:val="auto"/>
          <w:sz w:val="32"/>
          <w:szCs w:val="32"/>
          <w:highlight w:val="none"/>
          <w:lang w:val="en-US" w:eastAsia="zh-CN"/>
        </w:rPr>
        <w:t>行业</w:t>
      </w:r>
      <w:r>
        <w:rPr>
          <w:rFonts w:hint="eastAsia" w:ascii="仿宋_GB2312" w:hAnsi="仿宋_GB2312" w:eastAsia="仿宋_GB2312" w:cs="仿宋_GB2312"/>
          <w:color w:val="auto"/>
          <w:sz w:val="32"/>
          <w:szCs w:val="32"/>
          <w:highlight w:val="none"/>
        </w:rPr>
        <w:t>无序</w:t>
      </w:r>
      <w:r>
        <w:rPr>
          <w:rFonts w:hint="eastAsia" w:ascii="仿宋_GB2312" w:hAnsi="仿宋_GB2312" w:eastAsia="仿宋_GB2312" w:cs="仿宋_GB2312"/>
          <w:color w:val="auto"/>
          <w:sz w:val="32"/>
          <w:szCs w:val="32"/>
          <w:highlight w:val="none"/>
          <w:lang w:val="en-US" w:eastAsia="zh-CN"/>
        </w:rPr>
        <w:t>发展</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无证经营现象大量存在。</w:t>
      </w:r>
      <w:r>
        <w:rPr>
          <w:rFonts w:hint="eastAsia" w:ascii="仿宋_GB2312" w:hAnsi="仿宋_GB2312" w:eastAsia="仿宋_GB2312" w:cs="仿宋_GB2312"/>
          <w:b w:val="0"/>
          <w:bCs w:val="0"/>
          <w:color w:val="auto"/>
          <w:sz w:val="32"/>
          <w:szCs w:val="32"/>
          <w:highlight w:val="none"/>
          <w:lang w:val="en-US" w:eastAsia="zh-CN"/>
        </w:rPr>
        <w:t>截至2022年底</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清城区再生资源回收主体共有692家，其中持有工商营业执照的再生资源回收主体共有528家（企业为5家，个人独资企业或个体工商户为523家），占总数的76%；无证经营的再生资源回收主体共164家，占总数的24%。由于再生资源回收行业具有进入门槛低、经营成本低等特点，导致无证经营主体大量存在，</w:t>
      </w:r>
      <w:r>
        <w:rPr>
          <w:rFonts w:hint="eastAsia" w:ascii="仿宋_GB2312" w:hAnsi="仿宋_GB2312" w:eastAsia="仿宋_GB2312" w:cs="仿宋_GB2312"/>
          <w:color w:val="auto"/>
          <w:sz w:val="32"/>
          <w:szCs w:val="32"/>
          <w:highlight w:val="none"/>
        </w:rPr>
        <w:t>加上走街串</w:t>
      </w:r>
      <w:r>
        <w:rPr>
          <w:rFonts w:hint="eastAsia" w:ascii="仿宋_GB2312" w:hAnsi="仿宋_GB2312" w:eastAsia="仿宋_GB2312" w:cs="仿宋_GB2312"/>
          <w:color w:val="auto"/>
          <w:sz w:val="32"/>
          <w:szCs w:val="32"/>
          <w:highlight w:val="none"/>
          <w:lang w:val="en-US" w:eastAsia="zh-CN"/>
        </w:rPr>
        <w:t>巷</w:t>
      </w:r>
      <w:r>
        <w:rPr>
          <w:rFonts w:hint="eastAsia" w:ascii="仿宋_GB2312" w:hAnsi="仿宋_GB2312" w:eastAsia="仿宋_GB2312" w:cs="仿宋_GB2312"/>
          <w:color w:val="auto"/>
          <w:sz w:val="32"/>
          <w:szCs w:val="32"/>
          <w:highlight w:val="none"/>
        </w:rPr>
        <w:t>的流动废品收购人员，无证经营回收队伍更显庞大，再生资源回收市场混乱和行业</w:t>
      </w:r>
      <w:r>
        <w:rPr>
          <w:rFonts w:hint="eastAsia" w:ascii="仿宋_GB2312" w:hAnsi="仿宋_GB2312" w:eastAsia="仿宋_GB2312" w:cs="仿宋_GB2312"/>
          <w:color w:val="auto"/>
          <w:sz w:val="32"/>
          <w:szCs w:val="32"/>
          <w:highlight w:val="none"/>
          <w:lang w:val="en-US" w:eastAsia="zh-CN"/>
        </w:rPr>
        <w:t>偷</w:t>
      </w:r>
      <w:r>
        <w:rPr>
          <w:rFonts w:hint="eastAsia" w:ascii="仿宋_GB2312" w:hAnsi="仿宋_GB2312" w:eastAsia="仿宋_GB2312" w:cs="仿宋_GB2312"/>
          <w:color w:val="auto"/>
          <w:sz w:val="32"/>
          <w:szCs w:val="32"/>
          <w:highlight w:val="none"/>
        </w:rPr>
        <w:t>漏税现象</w:t>
      </w:r>
      <w:r>
        <w:rPr>
          <w:rFonts w:hint="eastAsia" w:ascii="仿宋_GB2312" w:hAnsi="仿宋_GB2312" w:eastAsia="仿宋_GB2312" w:cs="仿宋_GB2312"/>
          <w:color w:val="auto"/>
          <w:sz w:val="32"/>
          <w:szCs w:val="32"/>
          <w:highlight w:val="none"/>
          <w:lang w:val="en-US" w:eastAsia="zh-CN"/>
        </w:rPr>
        <w:t>比较严重</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各类</w:t>
      </w:r>
      <w:r>
        <w:rPr>
          <w:rFonts w:hint="eastAsia" w:ascii="仿宋_GB2312" w:hAnsi="仿宋_GB2312" w:eastAsia="仿宋_GB2312" w:cs="仿宋_GB2312"/>
          <w:b/>
          <w:bCs/>
          <w:color w:val="auto"/>
          <w:sz w:val="32"/>
          <w:szCs w:val="32"/>
          <w:highlight w:val="none"/>
          <w:lang w:val="en-US" w:eastAsia="zh-CN"/>
        </w:rPr>
        <w:t>回收</w:t>
      </w:r>
      <w:r>
        <w:rPr>
          <w:rFonts w:hint="eastAsia" w:ascii="仿宋_GB2312" w:hAnsi="仿宋_GB2312" w:eastAsia="仿宋_GB2312" w:cs="仿宋_GB2312"/>
          <w:b/>
          <w:bCs/>
          <w:color w:val="auto"/>
          <w:sz w:val="32"/>
          <w:szCs w:val="32"/>
          <w:highlight w:val="none"/>
        </w:rPr>
        <w:t>网点随意设点，</w:t>
      </w:r>
      <w:r>
        <w:rPr>
          <w:rFonts w:hint="eastAsia" w:ascii="仿宋_GB2312" w:hAnsi="仿宋_GB2312" w:eastAsia="仿宋_GB2312" w:cs="仿宋_GB2312"/>
          <w:b/>
          <w:bCs/>
          <w:color w:val="auto"/>
          <w:sz w:val="32"/>
          <w:szCs w:val="32"/>
          <w:highlight w:val="none"/>
          <w:lang w:val="en-US" w:eastAsia="zh-CN"/>
        </w:rPr>
        <w:t>环保、安全隐患</w:t>
      </w:r>
      <w:r>
        <w:rPr>
          <w:rFonts w:hint="eastAsia" w:ascii="仿宋_GB2312" w:hAnsi="仿宋_GB2312" w:eastAsia="仿宋_GB2312" w:cs="仿宋_GB2312"/>
          <w:b/>
          <w:bCs/>
          <w:color w:val="auto"/>
          <w:sz w:val="32"/>
          <w:szCs w:val="32"/>
          <w:highlight w:val="none"/>
        </w:rPr>
        <w:t>严重。</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再生资源回收网点中，绝大多数站点设在城市小街巷或城中村的居民区，缺乏大型的规范管理的回收集散处理场所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回收网点设施不完善，站内废品大部分</w:t>
      </w:r>
      <w:r>
        <w:rPr>
          <w:rFonts w:hint="eastAsia" w:ascii="仿宋_GB2312" w:hAnsi="仿宋_GB2312" w:eastAsia="仿宋_GB2312" w:cs="仿宋_GB2312"/>
          <w:color w:val="auto"/>
          <w:sz w:val="32"/>
          <w:szCs w:val="32"/>
          <w:highlight w:val="none"/>
        </w:rPr>
        <w:t>只是存放在简易棚内或长期露天堆放，</w:t>
      </w:r>
      <w:r>
        <w:rPr>
          <w:rFonts w:hint="eastAsia" w:ascii="仿宋_GB2312" w:hAnsi="仿宋_GB2312" w:eastAsia="仿宋_GB2312" w:cs="仿宋_GB2312"/>
          <w:color w:val="auto"/>
          <w:sz w:val="32"/>
          <w:szCs w:val="32"/>
          <w:highlight w:val="none"/>
          <w:lang w:val="en-US" w:eastAsia="zh-CN"/>
        </w:rPr>
        <w:t>部分回收网点还在堆放区拆解处理废旧家电、废气罐等，对废旧塑料、废旧胶等</w:t>
      </w:r>
      <w:r>
        <w:rPr>
          <w:rFonts w:hint="eastAsia" w:ascii="仿宋_GB2312" w:hAnsi="仿宋_GB2312" w:eastAsia="仿宋_GB2312" w:cs="仿宋_GB2312"/>
          <w:color w:val="auto"/>
          <w:sz w:val="32"/>
          <w:szCs w:val="32"/>
          <w:highlight w:val="none"/>
        </w:rPr>
        <w:t>随街</w:t>
      </w:r>
      <w:r>
        <w:rPr>
          <w:rFonts w:hint="eastAsia" w:ascii="仿宋_GB2312" w:hAnsi="仿宋_GB2312" w:eastAsia="仿宋_GB2312" w:cs="仿宋_GB2312"/>
          <w:color w:val="auto"/>
          <w:sz w:val="32"/>
          <w:szCs w:val="32"/>
          <w:highlight w:val="none"/>
          <w:lang w:val="en-US" w:eastAsia="zh-CN"/>
        </w:rPr>
        <w:t>以</w:t>
      </w:r>
      <w:r>
        <w:rPr>
          <w:rFonts w:hint="eastAsia" w:ascii="仿宋_GB2312" w:hAnsi="仿宋_GB2312" w:eastAsia="仿宋_GB2312" w:cs="仿宋_GB2312"/>
          <w:color w:val="auto"/>
          <w:sz w:val="32"/>
          <w:szCs w:val="32"/>
          <w:highlight w:val="none"/>
        </w:rPr>
        <w:t>明火加热</w:t>
      </w:r>
      <w:r>
        <w:rPr>
          <w:rFonts w:hint="eastAsia" w:ascii="仿宋_GB2312" w:hAnsi="仿宋_GB2312" w:eastAsia="仿宋_GB2312" w:cs="仿宋_GB2312"/>
          <w:color w:val="auto"/>
          <w:sz w:val="32"/>
          <w:szCs w:val="32"/>
          <w:highlight w:val="none"/>
          <w:lang w:val="en-US" w:eastAsia="zh-CN"/>
        </w:rPr>
        <w:t>方式进行</w:t>
      </w:r>
      <w:r>
        <w:rPr>
          <w:rFonts w:hint="eastAsia" w:ascii="仿宋_GB2312" w:hAnsi="仿宋_GB2312" w:eastAsia="仿宋_GB2312" w:cs="仿宋_GB2312"/>
          <w:color w:val="auto"/>
          <w:sz w:val="32"/>
          <w:szCs w:val="32"/>
          <w:highlight w:val="none"/>
        </w:rPr>
        <w:t>剥离拆解，造成居民区内污水、污油</w:t>
      </w:r>
      <w:r>
        <w:rPr>
          <w:rFonts w:hint="eastAsia" w:ascii="仿宋_GB2312" w:hAnsi="仿宋_GB2312" w:eastAsia="仿宋_GB2312" w:cs="仿宋_GB2312"/>
          <w:color w:val="auto"/>
          <w:sz w:val="32"/>
          <w:szCs w:val="32"/>
          <w:highlight w:val="none"/>
          <w:lang w:val="en-US" w:eastAsia="zh-CN"/>
        </w:rPr>
        <w:t>横流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乌烟瘴气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同时回收</w:t>
      </w:r>
      <w:r>
        <w:rPr>
          <w:rFonts w:hint="eastAsia" w:ascii="仿宋_GB2312" w:hAnsi="仿宋_GB2312" w:eastAsia="仿宋_GB2312" w:cs="仿宋_GB2312"/>
          <w:color w:val="auto"/>
          <w:sz w:val="32"/>
          <w:szCs w:val="32"/>
          <w:highlight w:val="none"/>
        </w:rPr>
        <w:t>人员穿着不讲究，回收过程中作业不规范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并且只回收高值再生资源，剩余低值再生资源或者无价值废物则</w:t>
      </w:r>
      <w:r>
        <w:rPr>
          <w:rFonts w:hint="eastAsia" w:ascii="仿宋_GB2312" w:hAnsi="仿宋_GB2312" w:eastAsia="仿宋_GB2312" w:cs="仿宋_GB2312"/>
          <w:color w:val="auto"/>
          <w:sz w:val="32"/>
          <w:szCs w:val="32"/>
          <w:highlight w:val="none"/>
        </w:rPr>
        <w:t>乱丢乱抛，“脏、乱、臭”现象和安全隐患十分严重。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技术和设施融合性差。</w:t>
      </w:r>
      <w:r>
        <w:rPr>
          <w:rFonts w:hint="eastAsia" w:ascii="仿宋_GB2312" w:hAnsi="仿宋_GB2312" w:eastAsia="仿宋_GB2312" w:cs="仿宋_GB2312"/>
          <w:color w:val="auto"/>
          <w:sz w:val="32"/>
          <w:szCs w:val="32"/>
          <w:highlight w:val="none"/>
        </w:rPr>
        <w:t>传统回收</w:t>
      </w:r>
      <w:r>
        <w:rPr>
          <w:rFonts w:hint="eastAsia" w:ascii="仿宋_GB2312" w:hAnsi="仿宋_GB2312" w:eastAsia="仿宋_GB2312" w:cs="仿宋_GB2312"/>
          <w:color w:val="auto"/>
          <w:sz w:val="32"/>
          <w:szCs w:val="32"/>
          <w:highlight w:val="none"/>
          <w:lang w:val="en-US" w:eastAsia="zh-CN"/>
        </w:rPr>
        <w:t>个体户和</w:t>
      </w:r>
      <w:r>
        <w:rPr>
          <w:rFonts w:hint="eastAsia" w:ascii="仿宋_GB2312" w:hAnsi="仿宋_GB2312" w:eastAsia="仿宋_GB2312" w:cs="仿宋_GB2312"/>
          <w:color w:val="auto"/>
          <w:sz w:val="32"/>
          <w:szCs w:val="32"/>
          <w:highlight w:val="none"/>
        </w:rPr>
        <w:t>企业普遍缺人才、缺技术、缺资金，越来越难适应</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分类和综合治理的需求，其安全隐患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环保</w:t>
      </w:r>
      <w:r>
        <w:rPr>
          <w:rFonts w:hint="eastAsia" w:ascii="仿宋_GB2312" w:hAnsi="仿宋_GB2312" w:eastAsia="仿宋_GB2312" w:cs="仿宋_GB2312"/>
          <w:color w:val="auto"/>
          <w:sz w:val="32"/>
          <w:szCs w:val="32"/>
          <w:highlight w:val="none"/>
          <w:lang w:val="en-US" w:eastAsia="zh-CN"/>
        </w:rPr>
        <w:t>问题</w:t>
      </w:r>
      <w:r>
        <w:rPr>
          <w:rFonts w:hint="eastAsia" w:ascii="仿宋_GB2312" w:hAnsi="仿宋_GB2312" w:eastAsia="仿宋_GB2312" w:cs="仿宋_GB2312"/>
          <w:color w:val="auto"/>
          <w:sz w:val="32"/>
          <w:szCs w:val="32"/>
          <w:highlight w:val="none"/>
        </w:rPr>
        <w:t>难以解决，中小回收企业日渐边缘化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同时</w:t>
      </w:r>
      <w:r>
        <w:rPr>
          <w:rFonts w:hint="eastAsia" w:ascii="仿宋_GB2312" w:hAnsi="仿宋_GB2312" w:eastAsia="仿宋_GB2312" w:cs="仿宋_GB2312"/>
          <w:color w:val="auto"/>
          <w:sz w:val="32"/>
          <w:szCs w:val="32"/>
          <w:highlight w:val="none"/>
        </w:rPr>
        <w:t>，大量的社会资本纷纷涌入垃圾分类回收行业，应用互联网、智能技术等手段快速占领市场，但普遍缺乏</w:t>
      </w:r>
      <w:r>
        <w:rPr>
          <w:rFonts w:hint="eastAsia" w:ascii="仿宋_GB2312" w:hAnsi="仿宋_GB2312" w:eastAsia="仿宋_GB2312" w:cs="仿宋_GB2312"/>
          <w:color w:val="auto"/>
          <w:sz w:val="32"/>
          <w:szCs w:val="32"/>
          <w:highlight w:val="none"/>
          <w:lang w:val="en-US" w:eastAsia="zh-CN"/>
        </w:rPr>
        <w:t>有效的</w:t>
      </w:r>
      <w:r>
        <w:rPr>
          <w:rFonts w:hint="eastAsia" w:ascii="仿宋_GB2312" w:hAnsi="仿宋_GB2312" w:eastAsia="仿宋_GB2312" w:cs="仿宋_GB2312"/>
          <w:color w:val="auto"/>
          <w:sz w:val="32"/>
          <w:szCs w:val="32"/>
          <w:highlight w:val="none"/>
        </w:rPr>
        <w:t>物流中转和终端分拣利用的设施配备，难以</w:t>
      </w:r>
      <w:r>
        <w:rPr>
          <w:rFonts w:hint="eastAsia" w:ascii="仿宋_GB2312" w:hAnsi="仿宋_GB2312" w:eastAsia="仿宋_GB2312" w:cs="仿宋_GB2312"/>
          <w:color w:val="auto"/>
          <w:sz w:val="32"/>
          <w:szCs w:val="32"/>
          <w:highlight w:val="none"/>
          <w:lang w:val="en-US" w:eastAsia="zh-CN"/>
        </w:rPr>
        <w:t>实现对再生资源</w:t>
      </w:r>
      <w:r>
        <w:rPr>
          <w:rFonts w:hint="eastAsia" w:ascii="仿宋_GB2312" w:hAnsi="仿宋_GB2312" w:eastAsia="仿宋_GB2312" w:cs="仿宋_GB2312"/>
          <w:color w:val="auto"/>
          <w:sz w:val="32"/>
          <w:szCs w:val="32"/>
          <w:highlight w:val="none"/>
        </w:rPr>
        <w:t>的二次分拣和利用去向</w:t>
      </w:r>
      <w:r>
        <w:rPr>
          <w:rFonts w:hint="eastAsia" w:ascii="仿宋_GB2312" w:hAnsi="仿宋_GB2312" w:eastAsia="仿宋_GB2312" w:cs="仿宋_GB2312"/>
          <w:color w:val="auto"/>
          <w:sz w:val="32"/>
          <w:szCs w:val="32"/>
          <w:highlight w:val="none"/>
          <w:lang w:val="en-US" w:eastAsia="zh-CN"/>
        </w:rPr>
        <w:t>进行</w:t>
      </w:r>
      <w:r>
        <w:rPr>
          <w:rFonts w:hint="eastAsia" w:ascii="仿宋_GB2312" w:hAnsi="仿宋_GB2312" w:eastAsia="仿宋_GB2312" w:cs="仿宋_GB2312"/>
          <w:color w:val="auto"/>
          <w:sz w:val="32"/>
          <w:szCs w:val="32"/>
          <w:highlight w:val="none"/>
        </w:rPr>
        <w:t>监管，给再生资源回收行业带来了新的隐患。</w:t>
      </w:r>
      <w:r>
        <w:rPr>
          <w:rFonts w:hint="eastAsia" w:ascii="仿宋_GB2312" w:hAnsi="仿宋_GB2312" w:eastAsia="仿宋_GB2312" w:cs="仿宋_GB2312"/>
          <w:color w:val="auto"/>
          <w:sz w:val="32"/>
          <w:szCs w:val="32"/>
          <w:highlight w:val="none"/>
          <w:lang w:val="en-US" w:eastAsia="zh-CN"/>
        </w:rPr>
        <w:t>使再生资源行业成为群众心中低门槛、低技术的“脏乱差”行业。</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58" w:name="_Toc3722"/>
      <w:bookmarkStart w:id="59" w:name="_Toc31479"/>
      <w:bookmarkStart w:id="60" w:name="_Toc26062"/>
      <w:bookmarkStart w:id="61" w:name="_Toc18418"/>
      <w:bookmarkStart w:id="62" w:name="_Toc20681"/>
      <w:bookmarkStart w:id="63" w:name="_Toc25697"/>
      <w:bookmarkStart w:id="64" w:name="_Toc16202"/>
      <w:bookmarkStart w:id="65" w:name="_Toc27786"/>
      <w:bookmarkStart w:id="66" w:name="_Toc29537"/>
      <w:r>
        <w:rPr>
          <w:rFonts w:hint="eastAsia" w:ascii="楷体_GB2312" w:hAnsi="楷体_GB2312" w:eastAsia="楷体_GB2312" w:cs="楷体_GB2312"/>
          <w:b w:val="0"/>
          <w:bCs w:val="0"/>
          <w:color w:val="auto"/>
          <w:sz w:val="32"/>
          <w:szCs w:val="32"/>
          <w:highlight w:val="none"/>
          <w:lang w:val="en-US" w:eastAsia="zh-CN"/>
        </w:rPr>
        <w:t>（四）再生资源回收面临的机遇</w:t>
      </w:r>
      <w:bookmarkEnd w:id="58"/>
      <w:bookmarkEnd w:id="59"/>
      <w:bookmarkEnd w:id="60"/>
      <w:bookmarkEnd w:id="61"/>
      <w:bookmarkEnd w:id="62"/>
      <w:bookmarkEnd w:id="63"/>
      <w:bookmarkEnd w:id="64"/>
      <w:bookmarkEnd w:id="65"/>
      <w:bookmarkEnd w:id="66"/>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1.国家连续出台政策，扶持力度加大</w:t>
      </w:r>
      <w:r>
        <w:rPr>
          <w:rFonts w:hint="eastAsia" w:ascii="仿宋_GB2312" w:hAnsi="仿宋_GB2312" w:eastAsia="仿宋_GB2312" w:cs="仿宋_GB2312"/>
          <w:b/>
          <w:bCs/>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2016年12月，习近平总书记在中央财经领导小组第十四次会议上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明确提出普遍推行垃圾分类制度，关系13亿多人生活环境改善，关系垃圾能不能减量化、资源化、无害化处理；要加快建立分类投放、分类收集、分类运输、分类处理的垃圾处理系统，形成以法治为基础、政府推动、全民参与、城乡统筹、因地制宜的垃圾分类制度，努力</w:t>
      </w:r>
      <w:r>
        <w:rPr>
          <w:rFonts w:hint="eastAsia" w:ascii="仿宋_GB2312" w:hAnsi="仿宋_GB2312" w:eastAsia="仿宋_GB2312" w:cs="仿宋_GB2312"/>
          <w:color w:val="auto"/>
          <w:sz w:val="32"/>
          <w:szCs w:val="32"/>
          <w:highlight w:val="none"/>
          <w:lang w:val="en-US" w:eastAsia="zh-CN"/>
        </w:rPr>
        <w:t>扩大</w:t>
      </w:r>
      <w:r>
        <w:rPr>
          <w:rFonts w:hint="eastAsia" w:ascii="仿宋_GB2312" w:hAnsi="仿宋_GB2312" w:eastAsia="仿宋_GB2312" w:cs="仿宋_GB2312"/>
          <w:color w:val="auto"/>
          <w:sz w:val="32"/>
          <w:szCs w:val="32"/>
          <w:highlight w:val="none"/>
        </w:rPr>
        <w:t>垃圾分类制度覆盖范围。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rPr>
      </w:pPr>
      <w:r>
        <w:rPr>
          <w:rFonts w:hint="eastAsia" w:ascii="仿宋_GB2312" w:hAnsi="仿宋_GB2312" w:eastAsia="仿宋_GB2312" w:cs="仿宋_GB2312"/>
          <w:color w:val="auto"/>
          <w:sz w:val="32"/>
          <w:szCs w:val="32"/>
          <w:highlight w:val="none"/>
          <w:lang w:val="en-US" w:eastAsia="zh-CN"/>
        </w:rPr>
        <w:t>国民经济和社会发展“十四五”规划明确提出，要持续改善环境质量，全面提升环境基础设施水平，建设分类投放、分类收集、分类运输、分类处理的生活垃圾处理系统。</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广清一体化</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和“入珠融湾”步伐加快，</w:t>
      </w:r>
      <w:r>
        <w:rPr>
          <w:rFonts w:hint="eastAsia" w:ascii="仿宋_GB2312" w:hAnsi="仿宋_GB2312" w:eastAsia="仿宋_GB2312" w:cs="仿宋_GB2312"/>
          <w:b/>
          <w:bCs/>
          <w:color w:val="auto"/>
          <w:sz w:val="32"/>
          <w:szCs w:val="32"/>
          <w:highlight w:val="none"/>
        </w:rPr>
        <w:t>区域协同</w:t>
      </w:r>
      <w:r>
        <w:rPr>
          <w:rFonts w:hint="eastAsia" w:ascii="仿宋_GB2312" w:hAnsi="仿宋_GB2312" w:eastAsia="仿宋_GB2312" w:cs="仿宋_GB2312"/>
          <w:b/>
          <w:bCs/>
          <w:color w:val="auto"/>
          <w:sz w:val="32"/>
          <w:szCs w:val="32"/>
          <w:highlight w:val="none"/>
          <w:lang w:val="en-US" w:eastAsia="zh-CN"/>
        </w:rPr>
        <w:t>带动作用日益明显。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目前，清远正加快</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广清一体化”“</w:t>
      </w:r>
      <w:r>
        <w:rPr>
          <w:rFonts w:hint="eastAsia" w:ascii="仿宋_GB2312" w:hAnsi="仿宋_GB2312" w:eastAsia="仿宋_GB2312" w:cs="仿宋_GB2312"/>
          <w:color w:val="auto"/>
          <w:sz w:val="32"/>
          <w:szCs w:val="32"/>
          <w:highlight w:val="none"/>
        </w:rPr>
        <w:t>入珠融湾”步伐，深入推动交通、产业及营商环境一体化发展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粤港澳大湾区地处我国改革开放前沿，经济实力雄厚，创新要素集聚，</w:t>
      </w:r>
      <w:r>
        <w:rPr>
          <w:rFonts w:hint="eastAsia" w:ascii="仿宋_GB2312" w:hAnsi="仿宋_GB2312" w:eastAsia="仿宋_GB2312" w:cs="仿宋_GB2312"/>
          <w:color w:val="auto"/>
          <w:sz w:val="32"/>
          <w:szCs w:val="32"/>
          <w:highlight w:val="none"/>
          <w:lang w:val="en-US" w:eastAsia="zh-CN"/>
        </w:rPr>
        <w:t>已</w:t>
      </w:r>
      <w:r>
        <w:rPr>
          <w:rFonts w:hint="eastAsia" w:ascii="仿宋_GB2312" w:hAnsi="仿宋_GB2312" w:eastAsia="仿宋_GB2312" w:cs="仿宋_GB2312"/>
          <w:color w:val="auto"/>
          <w:sz w:val="32"/>
          <w:szCs w:val="32"/>
          <w:highlight w:val="none"/>
        </w:rPr>
        <w:t>具备建成国际一流湾区和世界级城市群的基础条件，在国家发展大局中具有重要战略地位。《粤港澳大湾区发展规划纲要》明确，要以建设美丽湾区为引领，着力提升生态环境质量，实现绿色低碳循环发展。</w:t>
      </w:r>
      <w:r>
        <w:rPr>
          <w:rFonts w:hint="eastAsia" w:ascii="仿宋_GB2312" w:hAnsi="仿宋_GB2312" w:eastAsia="仿宋_GB2312" w:cs="仿宋_GB2312"/>
          <w:color w:val="auto"/>
          <w:sz w:val="32"/>
          <w:szCs w:val="32"/>
          <w:highlight w:val="none"/>
          <w:lang w:val="en-US" w:eastAsia="zh-CN"/>
        </w:rPr>
        <w:t>清城区作为</w:t>
      </w:r>
      <w:r>
        <w:rPr>
          <w:rFonts w:hint="eastAsia" w:ascii="仿宋_GB2312" w:hAnsi="仿宋_GB2312" w:eastAsia="仿宋_GB2312" w:cs="仿宋_GB2312"/>
          <w:color w:val="auto"/>
          <w:sz w:val="32"/>
          <w:szCs w:val="32"/>
          <w:highlight w:val="none"/>
        </w:rPr>
        <w:t>清远市</w:t>
      </w:r>
      <w:r>
        <w:rPr>
          <w:rFonts w:hint="eastAsia" w:ascii="仿宋_GB2312" w:hAnsi="仿宋_GB2312" w:eastAsia="仿宋_GB2312" w:cs="仿宋_GB2312"/>
          <w:color w:val="auto"/>
          <w:sz w:val="32"/>
          <w:szCs w:val="32"/>
          <w:highlight w:val="none"/>
          <w:lang w:val="en-US" w:eastAsia="zh-CN"/>
        </w:rPr>
        <w:t>中心城区</w:t>
      </w:r>
      <w:r>
        <w:rPr>
          <w:rFonts w:hint="eastAsia" w:ascii="仿宋_GB2312" w:hAnsi="仿宋_GB2312" w:eastAsia="仿宋_GB2312" w:cs="仿宋_GB2312"/>
          <w:color w:val="auto"/>
          <w:sz w:val="32"/>
          <w:szCs w:val="32"/>
          <w:highlight w:val="none"/>
        </w:rPr>
        <w:t>，与大湾区及周边地区的生态环境合作将是其中的重要内容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因此，再生资源的循环利用</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环境污染物的高标准处理，</w:t>
      </w:r>
      <w:r>
        <w:rPr>
          <w:rFonts w:hint="eastAsia" w:ascii="仿宋_GB2312" w:hAnsi="仿宋_GB2312" w:eastAsia="仿宋_GB2312" w:cs="仿宋_GB2312"/>
          <w:color w:val="auto"/>
          <w:sz w:val="32"/>
          <w:szCs w:val="32"/>
          <w:highlight w:val="none"/>
          <w:lang w:val="en-US" w:eastAsia="zh-CN"/>
        </w:rPr>
        <w:t>切实</w:t>
      </w:r>
      <w:r>
        <w:rPr>
          <w:rFonts w:hint="eastAsia" w:ascii="仿宋_GB2312" w:hAnsi="仿宋_GB2312" w:eastAsia="仿宋_GB2312" w:cs="仿宋_GB2312"/>
          <w:color w:val="auto"/>
          <w:sz w:val="32"/>
          <w:szCs w:val="32"/>
          <w:highlight w:val="none"/>
        </w:rPr>
        <w:t>防范环境风险，实现与周边环境和谐共生，是</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未来发展方向的重中之重。</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3.省、市</w:t>
      </w:r>
      <w:r>
        <w:rPr>
          <w:rFonts w:hint="eastAsia" w:ascii="仿宋_GB2312" w:hAnsi="仿宋_GB2312" w:eastAsia="仿宋_GB2312" w:cs="仿宋_GB2312"/>
          <w:b/>
          <w:bCs/>
          <w:color w:val="auto"/>
          <w:sz w:val="32"/>
          <w:szCs w:val="32"/>
          <w:highlight w:val="none"/>
        </w:rPr>
        <w:t>系列鼓励政策</w:t>
      </w:r>
      <w:r>
        <w:rPr>
          <w:rFonts w:hint="eastAsia" w:ascii="仿宋_GB2312" w:hAnsi="仿宋_GB2312" w:eastAsia="仿宋_GB2312" w:cs="仿宋_GB2312"/>
          <w:b/>
          <w:bCs/>
          <w:color w:val="auto"/>
          <w:sz w:val="32"/>
          <w:szCs w:val="32"/>
          <w:highlight w:val="none"/>
          <w:lang w:val="en-US" w:eastAsia="zh-CN"/>
        </w:rPr>
        <w:t>提供良好</w:t>
      </w:r>
      <w:r>
        <w:rPr>
          <w:rFonts w:hint="eastAsia" w:ascii="仿宋_GB2312" w:hAnsi="仿宋_GB2312" w:eastAsia="仿宋_GB2312" w:cs="仿宋_GB2312"/>
          <w:b/>
          <w:bCs/>
          <w:color w:val="auto"/>
          <w:sz w:val="32"/>
          <w:szCs w:val="32"/>
          <w:highlight w:val="none"/>
        </w:rPr>
        <w:t>外部推力。</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《广东省住房城乡建设事业“十四五”规划纲要》《广东省国民经济和社会发展第十四个五年规划和2035年远景目标纲要》等省级规划文件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以及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清远市再生资源回收管理暂行办法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《清远市城市生活垃圾分类实施方案》</w:t>
      </w:r>
      <w:r>
        <w:rPr>
          <w:rFonts w:hint="eastAsia" w:ascii="仿宋_GB2312" w:hAnsi="仿宋_GB2312" w:eastAsia="仿宋_GB2312" w:cs="仿宋_GB2312"/>
          <w:color w:val="auto"/>
          <w:sz w:val="32"/>
          <w:szCs w:val="32"/>
          <w:highlight w:val="none"/>
          <w:lang w:val="en-US" w:eastAsia="zh-CN"/>
        </w:rPr>
        <w:t>等市级规划文件</w:t>
      </w:r>
      <w:r>
        <w:rPr>
          <w:rFonts w:hint="eastAsia" w:ascii="仿宋_GB2312" w:hAnsi="仿宋_GB2312" w:eastAsia="仿宋_GB2312" w:cs="仿宋_GB2312"/>
          <w:color w:val="auto"/>
          <w:sz w:val="32"/>
          <w:szCs w:val="32"/>
          <w:highlight w:val="none"/>
        </w:rPr>
        <w:t>中提出完善再生资源收运体系，加强垃圾分类回收和再生资源回收，推进生活垃圾、建筑垃圾、农业废弃物等资源化利用，为</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体系建设营造出了良好的政策氛围。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先行地区建设</w:t>
      </w:r>
      <w:r>
        <w:rPr>
          <w:rFonts w:hint="eastAsia" w:ascii="仿宋_GB2312" w:hAnsi="仿宋_GB2312" w:eastAsia="仿宋_GB2312" w:cs="仿宋_GB2312"/>
          <w:b/>
          <w:bCs/>
          <w:color w:val="auto"/>
          <w:sz w:val="32"/>
          <w:szCs w:val="32"/>
          <w:highlight w:val="none"/>
          <w:lang w:val="en-US" w:eastAsia="zh-CN"/>
        </w:rPr>
        <w:t>成效良好，</w:t>
      </w:r>
      <w:r>
        <w:rPr>
          <w:rFonts w:hint="eastAsia" w:ascii="仿宋_GB2312" w:hAnsi="仿宋_GB2312" w:eastAsia="仿宋_GB2312" w:cs="仿宋_GB2312"/>
          <w:b/>
          <w:bCs/>
          <w:color w:val="auto"/>
          <w:sz w:val="32"/>
          <w:szCs w:val="32"/>
          <w:highlight w:val="none"/>
        </w:rPr>
        <w:t>提供经验借鉴。</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近年来，</w:t>
      </w:r>
      <w:r>
        <w:rPr>
          <w:rFonts w:hint="eastAsia" w:ascii="仿宋_GB2312" w:hAnsi="仿宋_GB2312" w:eastAsia="仿宋_GB2312" w:cs="仿宋_GB2312"/>
          <w:color w:val="auto"/>
          <w:sz w:val="32"/>
          <w:szCs w:val="32"/>
          <w:highlight w:val="none"/>
        </w:rPr>
        <w:t>国家大力倡导垃圾分类、</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，并以城市矿产示范基地、资源循环利用基地的形式</w:t>
      </w:r>
      <w:r>
        <w:rPr>
          <w:rFonts w:hint="eastAsia" w:ascii="仿宋_GB2312" w:hAnsi="仿宋_GB2312" w:eastAsia="仿宋_GB2312" w:cs="仿宋_GB2312"/>
          <w:color w:val="auto"/>
          <w:sz w:val="32"/>
          <w:szCs w:val="32"/>
          <w:highlight w:val="none"/>
          <w:lang w:val="en-US" w:eastAsia="zh-CN"/>
        </w:rPr>
        <w:t>探索构建再生资源加工处理体系</w:t>
      </w:r>
      <w:r>
        <w:rPr>
          <w:rFonts w:hint="eastAsia" w:ascii="仿宋_GB2312" w:hAnsi="仿宋_GB2312" w:eastAsia="仿宋_GB2312" w:cs="仿宋_GB2312"/>
          <w:color w:val="auto"/>
          <w:sz w:val="32"/>
          <w:szCs w:val="32"/>
          <w:highlight w:val="none"/>
        </w:rPr>
        <w:t>，国内涌现出</w:t>
      </w:r>
      <w:r>
        <w:rPr>
          <w:rFonts w:hint="eastAsia" w:ascii="仿宋_GB2312" w:hAnsi="仿宋_GB2312" w:eastAsia="仿宋_GB2312" w:cs="仿宋_GB2312"/>
          <w:color w:val="auto"/>
          <w:sz w:val="32"/>
          <w:szCs w:val="32"/>
          <w:highlight w:val="none"/>
          <w:lang w:eastAsia="zh-CN"/>
        </w:rPr>
        <w:t>了</w:t>
      </w:r>
      <w:r>
        <w:rPr>
          <w:rFonts w:hint="eastAsia" w:ascii="仿宋_GB2312" w:hAnsi="仿宋_GB2312" w:eastAsia="仿宋_GB2312" w:cs="仿宋_GB2312"/>
          <w:color w:val="auto"/>
          <w:sz w:val="32"/>
          <w:szCs w:val="32"/>
          <w:highlight w:val="none"/>
        </w:rPr>
        <w:t>北京、上海、</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杭州、宁波</w:t>
      </w:r>
      <w:r>
        <w:rPr>
          <w:rFonts w:hint="eastAsia" w:ascii="仿宋_GB2312" w:hAnsi="仿宋_GB2312" w:eastAsia="仿宋_GB2312" w:cs="仿宋_GB2312"/>
          <w:color w:val="auto"/>
          <w:sz w:val="32"/>
          <w:szCs w:val="32"/>
          <w:highlight w:val="none"/>
        </w:rPr>
        <w:t>等一批大型城市先进的</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收运体系建设模式。</w:t>
      </w:r>
      <w:r>
        <w:rPr>
          <w:rFonts w:hint="eastAsia" w:ascii="仿宋_GB2312" w:hAnsi="仿宋_GB2312" w:eastAsia="仿宋_GB2312" w:cs="仿宋_GB2312"/>
          <w:color w:val="auto"/>
          <w:sz w:val="32"/>
          <w:szCs w:val="32"/>
          <w:highlight w:val="none"/>
        </w:rPr>
        <w:t>这些先进模式充分</w:t>
      </w:r>
      <w:r>
        <w:rPr>
          <w:rFonts w:hint="eastAsia" w:ascii="仿宋_GB2312" w:hAnsi="仿宋_GB2312" w:eastAsia="仿宋_GB2312" w:cs="仿宋_GB2312"/>
          <w:color w:val="auto"/>
          <w:sz w:val="32"/>
          <w:szCs w:val="32"/>
          <w:highlight w:val="none"/>
          <w:lang w:val="en-US" w:eastAsia="zh-CN"/>
        </w:rPr>
        <w:t>遵循</w:t>
      </w:r>
      <w:r>
        <w:rPr>
          <w:rFonts w:hint="eastAsia" w:ascii="仿宋_GB2312" w:hAnsi="仿宋_GB2312" w:eastAsia="仿宋_GB2312" w:cs="仿宋_GB2312"/>
          <w:color w:val="auto"/>
          <w:sz w:val="32"/>
          <w:szCs w:val="32"/>
          <w:highlight w:val="none"/>
        </w:rPr>
        <w:t>当地的经济社会发展条件，发挥“政府引导、市场主导”的作用，取得了</w:t>
      </w:r>
      <w:r>
        <w:rPr>
          <w:rFonts w:hint="eastAsia" w:ascii="仿宋_GB2312" w:hAnsi="仿宋_GB2312" w:eastAsia="仿宋_GB2312" w:cs="仿宋_GB2312"/>
          <w:color w:val="auto"/>
          <w:sz w:val="32"/>
          <w:szCs w:val="32"/>
          <w:highlight w:val="none"/>
          <w:lang w:val="en-US" w:eastAsia="zh-CN"/>
        </w:rPr>
        <w:t>不错的成效</w:t>
      </w:r>
      <w:r>
        <w:rPr>
          <w:rFonts w:hint="eastAsia" w:ascii="仿宋_GB2312" w:hAnsi="仿宋_GB2312" w:eastAsia="仿宋_GB2312" w:cs="仿宋_GB2312"/>
          <w:color w:val="auto"/>
          <w:sz w:val="32"/>
          <w:szCs w:val="32"/>
          <w:highlight w:val="none"/>
        </w:rPr>
        <w:t>。这些先行地区的建设经验，为</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做好</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体系建设工作提供了良好的经验借鉴。</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5.再生资源回收体系建设已逐步形成浓厚的社会氛围。</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随着社会的进步，人们对生活质量提出了更高的要求，“天更蓝、树更绿、水更清、城更美”成为人们的共同心声。</w:t>
      </w:r>
      <w:r>
        <w:rPr>
          <w:rFonts w:hint="eastAsia" w:ascii="仿宋_GB2312" w:hAnsi="仿宋_GB2312" w:eastAsia="仿宋_GB2312" w:cs="仿宋_GB2312"/>
          <w:color w:val="auto"/>
          <w:sz w:val="32"/>
          <w:szCs w:val="32"/>
          <w:highlight w:val="none"/>
          <w:lang w:val="en-US" w:eastAsia="zh-CN"/>
        </w:rPr>
        <w:t>近年来，通过政府和有关机构广泛有效的宣传动员、教育引导工作，成效初显，使得推广垃圾分类，再生资源回收，</w:t>
      </w:r>
      <w:r>
        <w:rPr>
          <w:rFonts w:hint="eastAsia" w:ascii="仿宋_GB2312" w:hAnsi="仿宋_GB2312" w:eastAsia="仿宋_GB2312" w:cs="仿宋_GB2312"/>
          <w:color w:val="auto"/>
          <w:sz w:val="32"/>
          <w:szCs w:val="32"/>
          <w:highlight w:val="none"/>
        </w:rPr>
        <w:t>倡导绿色生活，爱护生态环境</w:t>
      </w:r>
      <w:r>
        <w:rPr>
          <w:rFonts w:hint="eastAsia" w:ascii="仿宋_GB2312" w:hAnsi="仿宋_GB2312" w:eastAsia="仿宋_GB2312" w:cs="仿宋_GB2312"/>
          <w:color w:val="auto"/>
          <w:sz w:val="32"/>
          <w:szCs w:val="32"/>
          <w:highlight w:val="none"/>
          <w:lang w:val="en-US" w:eastAsia="zh-CN"/>
        </w:rPr>
        <w:t>等意识已深入人心，人们对美好生活环境的追求已经成为推动再生资源体系建设的内生动力。</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67" w:name="_Toc5408"/>
      <w:bookmarkStart w:id="68" w:name="_Toc13841"/>
      <w:bookmarkStart w:id="69" w:name="_Toc15684"/>
      <w:bookmarkStart w:id="70" w:name="_Toc1378"/>
      <w:bookmarkStart w:id="71" w:name="_Toc10372"/>
      <w:bookmarkStart w:id="72" w:name="_Toc11997"/>
      <w:bookmarkStart w:id="73" w:name="_Toc13906"/>
      <w:bookmarkStart w:id="74" w:name="_Toc22086"/>
      <w:bookmarkStart w:id="75" w:name="_Toc12948"/>
      <w:r>
        <w:rPr>
          <w:rFonts w:hint="eastAsia" w:ascii="楷体_GB2312" w:hAnsi="楷体_GB2312" w:eastAsia="楷体_GB2312" w:cs="楷体_GB2312"/>
          <w:b w:val="0"/>
          <w:bCs w:val="0"/>
          <w:color w:val="auto"/>
          <w:sz w:val="32"/>
          <w:szCs w:val="32"/>
          <w:highlight w:val="none"/>
          <w:lang w:val="en-US" w:eastAsia="zh-CN"/>
        </w:rPr>
        <w:t>（五）再生资源回收面临的挑战</w:t>
      </w:r>
      <w:bookmarkEnd w:id="67"/>
      <w:bookmarkEnd w:id="68"/>
      <w:bookmarkEnd w:id="69"/>
      <w:bookmarkEnd w:id="70"/>
      <w:bookmarkEnd w:id="71"/>
      <w:bookmarkEnd w:id="72"/>
      <w:bookmarkEnd w:id="73"/>
      <w:bookmarkEnd w:id="74"/>
      <w:bookmarkEnd w:id="75"/>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1.生活垃圾产量日益提升，再生资源回收能力未能有效匹配。</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近年来，</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的人口在持续增加，垃圾处理量也快速增多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根据2021年清城区第七次人口普查数据统计，清城区常住人口达112.51万人，10年间增长31.3万人。</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根据相关部门数据显示，2022年</w:t>
      </w:r>
      <w:r>
        <w:rPr>
          <w:rFonts w:hint="eastAsia" w:ascii="仿宋_GB2312" w:hAnsi="仿宋_GB2312" w:eastAsia="仿宋_GB2312" w:cs="仿宋_GB2312"/>
          <w:color w:val="auto"/>
          <w:sz w:val="32"/>
          <w:szCs w:val="32"/>
        </w:rPr>
        <w:t>清城区</w:t>
      </w:r>
      <w:r>
        <w:rPr>
          <w:rFonts w:hint="eastAsia" w:ascii="仿宋_GB2312" w:hAnsi="仿宋_GB2312" w:eastAsia="仿宋_GB2312" w:cs="仿宋_GB2312"/>
          <w:color w:val="auto"/>
          <w:sz w:val="32"/>
          <w:szCs w:val="32"/>
          <w:highlight w:val="none"/>
          <w:lang w:val="en-US" w:eastAsia="zh-CN"/>
        </w:rPr>
        <w:t>城乡生活垃圾清运量为</w:t>
      </w:r>
      <w:r>
        <w:rPr>
          <w:rFonts w:hint="eastAsia" w:ascii="仿宋_GB2312" w:hAnsi="仿宋_GB2312" w:eastAsia="仿宋_GB2312" w:cs="仿宋_GB2312"/>
          <w:color w:val="auto"/>
          <w:sz w:val="32"/>
          <w:szCs w:val="32"/>
        </w:rPr>
        <w:t>39.9</w:t>
      </w:r>
      <w:r>
        <w:rPr>
          <w:rFonts w:hint="eastAsia" w:ascii="仿宋_GB2312" w:hAnsi="仿宋_GB2312" w:eastAsia="仿宋_GB2312" w:cs="仿宋_GB2312"/>
          <w:color w:val="auto"/>
          <w:sz w:val="32"/>
          <w:szCs w:val="32"/>
          <w:highlight w:val="none"/>
          <w:lang w:val="en-US" w:eastAsia="zh-CN"/>
        </w:rPr>
        <w:t>万吨，</w:t>
      </w:r>
      <w:r>
        <w:rPr>
          <w:rFonts w:hint="eastAsia" w:ascii="仿宋_GB2312" w:hAnsi="仿宋_GB2312" w:eastAsia="仿宋_GB2312" w:cs="仿宋_GB2312"/>
          <w:color w:val="auto"/>
          <w:sz w:val="32"/>
          <w:szCs w:val="32"/>
        </w:rPr>
        <w:t>全区城乡生活垃圾日均清运量1095.87吨</w:t>
      </w:r>
      <w:r>
        <w:rPr>
          <w:rFonts w:hint="eastAsia" w:ascii="仿宋_GB2312" w:hAnsi="仿宋_GB2312" w:eastAsia="仿宋_GB2312" w:cs="仿宋_GB2312"/>
          <w:color w:val="auto"/>
          <w:sz w:val="32"/>
          <w:szCs w:val="32"/>
          <w:highlight w:val="none"/>
          <w:lang w:val="en-US" w:eastAsia="zh-CN"/>
        </w:rPr>
        <w:t>/日。预计到2025年，清城区城乡生活垃圾清运量约为54.2万吨，全区城乡生活垃圾清运量日均约为1487吨/日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目前，清城区建有垃圾中转站10个，其中分布在中心城区6个、乡镇地区4个，</w:t>
      </w:r>
      <w:r>
        <w:rPr>
          <w:rFonts w:hint="eastAsia" w:ascii="仿宋_GB2312" w:hAnsi="仿宋_GB2312" w:eastAsia="仿宋_GB2312" w:cs="仿宋_GB2312"/>
          <w:color w:val="auto"/>
          <w:sz w:val="32"/>
          <w:szCs w:val="32"/>
          <w:highlight w:val="none"/>
        </w:rPr>
        <w:t>均已处在超负荷运转状态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可见</w:t>
      </w:r>
      <w:r>
        <w:rPr>
          <w:rFonts w:hint="eastAsia" w:ascii="仿宋_GB2312" w:hAnsi="仿宋_GB2312" w:eastAsia="仿宋_GB2312" w:cs="仿宋_GB2312"/>
          <w:color w:val="auto"/>
          <w:sz w:val="32"/>
          <w:szCs w:val="32"/>
          <w:highlight w:val="none"/>
        </w:rPr>
        <w:t>人口增多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生活垃圾存量</w:t>
      </w:r>
      <w:r>
        <w:rPr>
          <w:rFonts w:hint="eastAsia" w:ascii="仿宋_GB2312" w:hAnsi="仿宋_GB2312" w:eastAsia="仿宋_GB2312" w:cs="仿宋_GB2312"/>
          <w:color w:val="auto"/>
          <w:sz w:val="32"/>
          <w:szCs w:val="32"/>
          <w:highlight w:val="none"/>
          <w:lang w:val="en-US" w:eastAsia="zh-CN"/>
        </w:rPr>
        <w:t>增多，导致的</w:t>
      </w:r>
      <w:r>
        <w:rPr>
          <w:rFonts w:hint="eastAsia" w:ascii="仿宋_GB2312" w:hAnsi="仿宋_GB2312" w:eastAsia="仿宋_GB2312" w:cs="仿宋_GB2312"/>
          <w:color w:val="auto"/>
          <w:sz w:val="32"/>
          <w:szCs w:val="32"/>
          <w:highlight w:val="none"/>
        </w:rPr>
        <w:t>垃圾围城的形势越来越严峻。因此通过健全</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体系，实现垃圾减量</w:t>
      </w:r>
      <w:r>
        <w:rPr>
          <w:rFonts w:hint="eastAsia" w:ascii="仿宋_GB2312" w:hAnsi="仿宋_GB2312" w:eastAsia="仿宋_GB2312" w:cs="仿宋_GB2312"/>
          <w:color w:val="auto"/>
          <w:sz w:val="32"/>
          <w:szCs w:val="32"/>
          <w:highlight w:val="none"/>
          <w:lang w:val="en-US" w:eastAsia="zh-CN"/>
        </w:rPr>
        <w:t>化和资源化，减轻垃圾处理压力，</w:t>
      </w:r>
      <w:r>
        <w:rPr>
          <w:rFonts w:hint="eastAsia" w:ascii="仿宋_GB2312" w:hAnsi="仿宋_GB2312" w:eastAsia="仿宋_GB2312" w:cs="仿宋_GB2312"/>
          <w:color w:val="auto"/>
          <w:sz w:val="32"/>
          <w:szCs w:val="32"/>
          <w:highlight w:val="none"/>
        </w:rPr>
        <w:t>是清远</w:t>
      </w:r>
      <w:r>
        <w:rPr>
          <w:rFonts w:hint="eastAsia" w:ascii="仿宋_GB2312" w:hAnsi="仿宋_GB2312" w:eastAsia="仿宋_GB2312" w:cs="仿宋_GB2312"/>
          <w:color w:val="auto"/>
          <w:sz w:val="32"/>
          <w:szCs w:val="32"/>
          <w:highlight w:val="none"/>
          <w:lang w:val="en-US" w:eastAsia="zh-CN"/>
        </w:rPr>
        <w:t>垃圾分类和</w:t>
      </w:r>
      <w:r>
        <w:rPr>
          <w:rFonts w:hint="eastAsia" w:ascii="仿宋_GB2312" w:hAnsi="仿宋_GB2312" w:eastAsia="仿宋_GB2312" w:cs="仿宋_GB2312"/>
          <w:color w:val="auto"/>
          <w:sz w:val="32"/>
          <w:szCs w:val="32"/>
          <w:highlight w:val="none"/>
        </w:rPr>
        <w:t>再生资源回收面临的重大挑战。</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2.国内</w:t>
      </w:r>
      <w:r>
        <w:rPr>
          <w:rFonts w:hint="eastAsia" w:ascii="仿宋_GB2312" w:hAnsi="仿宋_GB2312" w:eastAsia="仿宋_GB2312" w:cs="仿宋_GB2312"/>
          <w:b/>
          <w:bCs/>
          <w:color w:val="auto"/>
          <w:sz w:val="32"/>
          <w:szCs w:val="32"/>
          <w:highlight w:val="none"/>
        </w:rPr>
        <w:t>分类投放、分类收集、分类运输、分类处理的垃圾处理</w:t>
      </w:r>
      <w:r>
        <w:rPr>
          <w:rFonts w:hint="eastAsia" w:ascii="仿宋_GB2312" w:hAnsi="仿宋_GB2312" w:eastAsia="仿宋_GB2312" w:cs="仿宋_GB2312"/>
          <w:b/>
          <w:bCs/>
          <w:color w:val="auto"/>
          <w:sz w:val="32"/>
          <w:szCs w:val="32"/>
          <w:highlight w:val="none"/>
          <w:lang w:val="en-US" w:eastAsia="zh-CN"/>
        </w:rPr>
        <w:t>体系不完整，使再生资源回收缺乏基础。</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国内垃圾分类热潮虽然已经初步兴起，但离深入人心和全国范围内贯彻落实仍存在比较大的差距。同时，现有垃圾处理体系也尚未完整，仍存在着</w:t>
      </w:r>
      <w:r>
        <w:rPr>
          <w:rFonts w:hint="eastAsia" w:ascii="仿宋_GB2312" w:hAnsi="仿宋_GB2312" w:eastAsia="仿宋_GB2312" w:cs="仿宋_GB2312"/>
          <w:color w:val="auto"/>
          <w:sz w:val="32"/>
          <w:szCs w:val="32"/>
          <w:highlight w:val="none"/>
        </w:rPr>
        <w:t>居民想分、不知道怎么分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没有持续动力，不是今天分、明天懒得分，就是有人盯就分、没人盯就不分</w:t>
      </w:r>
      <w:r>
        <w:rPr>
          <w:rFonts w:hint="eastAsia" w:ascii="仿宋_GB2312" w:hAnsi="仿宋_GB2312" w:eastAsia="仿宋_GB2312" w:cs="仿宋_GB2312"/>
          <w:color w:val="auto"/>
          <w:sz w:val="32"/>
          <w:szCs w:val="32"/>
          <w:highlight w:val="none"/>
          <w:lang w:val="en-US" w:eastAsia="zh-CN"/>
        </w:rPr>
        <w:t>等问题</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同时</w:t>
      </w:r>
      <w:r>
        <w:rPr>
          <w:rFonts w:hint="eastAsia" w:ascii="仿宋_GB2312" w:hAnsi="仿宋_GB2312" w:eastAsia="仿宋_GB2312" w:cs="仿宋_GB2312"/>
          <w:color w:val="auto"/>
          <w:sz w:val="32"/>
          <w:szCs w:val="32"/>
          <w:highlight w:val="none"/>
        </w:rPr>
        <w:t>投放环节</w:t>
      </w:r>
      <w:r>
        <w:rPr>
          <w:rFonts w:hint="eastAsia" w:ascii="仿宋_GB2312" w:hAnsi="仿宋_GB2312" w:eastAsia="仿宋_GB2312" w:cs="仿宋_GB2312"/>
          <w:color w:val="auto"/>
          <w:sz w:val="32"/>
          <w:szCs w:val="32"/>
          <w:highlight w:val="none"/>
          <w:lang w:val="en-US" w:eastAsia="zh-CN"/>
        </w:rPr>
        <w:t>虽然</w:t>
      </w:r>
      <w:r>
        <w:rPr>
          <w:rFonts w:hint="eastAsia" w:ascii="仿宋_GB2312" w:hAnsi="仿宋_GB2312" w:eastAsia="仿宋_GB2312" w:cs="仿宋_GB2312"/>
          <w:color w:val="auto"/>
          <w:sz w:val="32"/>
          <w:szCs w:val="32"/>
          <w:highlight w:val="none"/>
        </w:rPr>
        <w:t>配备分类收集的设施，</w:t>
      </w:r>
      <w:r>
        <w:rPr>
          <w:rFonts w:hint="eastAsia" w:ascii="仿宋_GB2312" w:hAnsi="仿宋_GB2312" w:eastAsia="仿宋_GB2312" w:cs="仿宋_GB2312"/>
          <w:color w:val="auto"/>
          <w:sz w:val="32"/>
          <w:szCs w:val="32"/>
          <w:highlight w:val="none"/>
          <w:lang w:val="en-US" w:eastAsia="zh-CN"/>
        </w:rPr>
        <w:t>但</w:t>
      </w:r>
      <w:r>
        <w:rPr>
          <w:rFonts w:hint="eastAsia" w:ascii="仿宋_GB2312" w:hAnsi="仿宋_GB2312" w:eastAsia="仿宋_GB2312" w:cs="仿宋_GB2312"/>
          <w:color w:val="auto"/>
          <w:sz w:val="32"/>
          <w:szCs w:val="32"/>
          <w:highlight w:val="none"/>
        </w:rPr>
        <w:t>分类运输、分类处置环节的设施配备普遍不足，垃圾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先分后混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的问题还没有</w:t>
      </w:r>
      <w:r>
        <w:rPr>
          <w:rFonts w:hint="eastAsia" w:ascii="仿宋_GB2312" w:hAnsi="仿宋_GB2312" w:eastAsia="仿宋_GB2312" w:cs="仿宋_GB2312"/>
          <w:color w:val="auto"/>
          <w:sz w:val="32"/>
          <w:szCs w:val="32"/>
          <w:highlight w:val="none"/>
          <w:lang w:val="en-US" w:eastAsia="zh-CN"/>
        </w:rPr>
        <w:t>得到</w:t>
      </w:r>
      <w:r>
        <w:rPr>
          <w:rFonts w:hint="eastAsia" w:ascii="仿宋_GB2312" w:hAnsi="仿宋_GB2312" w:eastAsia="仿宋_GB2312" w:cs="仿宋_GB2312"/>
          <w:color w:val="auto"/>
          <w:sz w:val="32"/>
          <w:szCs w:val="32"/>
          <w:highlight w:val="none"/>
        </w:rPr>
        <w:t>明显解决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垃圾分类、收集没有做好，增加了再生资源回收的难度，降低了回收效率。</w:t>
      </w:r>
      <w:bookmarkStart w:id="76" w:name="_Toc30121"/>
      <w:bookmarkStart w:id="77" w:name="_Toc18749"/>
      <w:bookmarkStart w:id="78" w:name="_Toc13203"/>
      <w:bookmarkStart w:id="79" w:name="_Toc1893"/>
      <w:bookmarkStart w:id="80" w:name="_Toc23462"/>
    </w:p>
    <w:p>
      <w:pPr>
        <w:keepNext w:val="0"/>
        <w:keepLines w:val="0"/>
        <w:pageBreakBefore w:val="0"/>
        <w:widowControl w:val="0"/>
        <w:numPr>
          <w:ilvl w:val="0"/>
          <w:numId w:val="0"/>
        </w:numPr>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rPr>
      </w:pPr>
      <w:bookmarkStart w:id="81" w:name="_Toc20488"/>
      <w:bookmarkStart w:id="82" w:name="_Toc12694"/>
      <w:bookmarkStart w:id="83" w:name="_Toc31857"/>
      <w:bookmarkStart w:id="84" w:name="_Toc5421"/>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规划的意义和目的</w:t>
      </w:r>
      <w:bookmarkEnd w:id="76"/>
      <w:bookmarkEnd w:id="77"/>
      <w:bookmarkEnd w:id="78"/>
      <w:bookmarkEnd w:id="79"/>
      <w:bookmarkEnd w:id="80"/>
      <w:bookmarkEnd w:id="81"/>
      <w:bookmarkEnd w:id="82"/>
      <w:bookmarkEnd w:id="83"/>
      <w:bookmarkEnd w:id="84"/>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85" w:name="_Toc979"/>
      <w:bookmarkStart w:id="86" w:name="_Toc27523"/>
      <w:bookmarkStart w:id="87" w:name="_Toc1821"/>
      <w:bookmarkStart w:id="88" w:name="_Toc21440"/>
      <w:bookmarkStart w:id="89" w:name="_Toc1945"/>
      <w:bookmarkStart w:id="90" w:name="_Toc23523"/>
      <w:bookmarkStart w:id="91" w:name="_Toc21342"/>
      <w:bookmarkStart w:id="92" w:name="_Toc16522"/>
      <w:bookmarkStart w:id="93" w:name="_Toc22557"/>
      <w:r>
        <w:rPr>
          <w:rFonts w:hint="eastAsia" w:ascii="楷体_GB2312" w:hAnsi="楷体_GB2312" w:eastAsia="楷体_GB2312" w:cs="楷体_GB2312"/>
          <w:b w:val="0"/>
          <w:bCs w:val="0"/>
          <w:color w:val="auto"/>
          <w:sz w:val="32"/>
          <w:szCs w:val="32"/>
          <w:highlight w:val="none"/>
          <w:lang w:val="en-US" w:eastAsia="zh-CN"/>
        </w:rPr>
        <w:t>（一）规划意义</w:t>
      </w:r>
      <w:bookmarkEnd w:id="85"/>
      <w:bookmarkEnd w:id="86"/>
      <w:bookmarkEnd w:id="87"/>
      <w:bookmarkEnd w:id="88"/>
      <w:bookmarkEnd w:id="89"/>
      <w:bookmarkEnd w:id="90"/>
      <w:bookmarkEnd w:id="91"/>
      <w:bookmarkEnd w:id="92"/>
      <w:bookmarkEnd w:id="9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发展循环经济是国家的一项重大战略决策，</w:t>
      </w:r>
      <w:r>
        <w:rPr>
          <w:rFonts w:hint="eastAsia" w:ascii="仿宋_GB2312" w:hAnsi="仿宋_GB2312" w:eastAsia="仿宋_GB2312" w:cs="仿宋_GB2312"/>
          <w:color w:val="auto"/>
          <w:sz w:val="32"/>
          <w:szCs w:val="32"/>
          <w:highlight w:val="none"/>
          <w:lang w:val="en-US" w:eastAsia="zh-CN"/>
        </w:rPr>
        <w:t>是对“大量生产、大量消费、大量废弃”的线性增长模式的根本变革，是工业文明走向生态文明的必由之路，</w:t>
      </w:r>
      <w:r>
        <w:rPr>
          <w:rFonts w:hint="eastAsia" w:ascii="仿宋_GB2312" w:hAnsi="仿宋_GB2312" w:eastAsia="仿宋_GB2312" w:cs="仿宋_GB2312"/>
          <w:color w:val="auto"/>
          <w:sz w:val="32"/>
          <w:szCs w:val="32"/>
          <w:highlight w:val="none"/>
        </w:rPr>
        <w:t>是建设资源节约型、环境友好型社会，实现可持续发展的必然选择。国家《再生资源回收体系建设中长期规划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2015-2020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生活垃圾分类制度实施方案》等文件均指出，推进垃圾收运系统与再生资源回收利用系统的衔接，健全再生资源回收利用网络，合理布局布点，提高建设标准，建设兼具垃圾分类与再生资源回收功能的交投点和中转站。根据《中华人民共和国固体废物污染环境防治法》《城市市容和环境卫生管理条例》《广东省城乡生活垃圾处理条例》等法律法规和市人大立法工作安排，20</w:t>
      </w:r>
      <w:r>
        <w:rPr>
          <w:rFonts w:hint="eastAsia" w:ascii="仿宋_GB2312" w:hAnsi="仿宋_GB2312" w:eastAsia="仿宋_GB2312" w:cs="仿宋_GB2312"/>
          <w:color w:val="auto"/>
          <w:sz w:val="32"/>
          <w:szCs w:val="32"/>
          <w:highlight w:val="none"/>
          <w:lang w:val="en-US" w:eastAsia="zh-CN"/>
        </w:rPr>
        <w:t>21</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清远市人民政府颁布实施了</w:t>
      </w:r>
      <w:r>
        <w:rPr>
          <w:rFonts w:hint="eastAsia" w:ascii="仿宋_GB2312" w:hAnsi="仿宋_GB2312" w:eastAsia="仿宋_GB2312" w:cs="仿宋_GB2312"/>
          <w:color w:val="auto"/>
          <w:sz w:val="32"/>
          <w:szCs w:val="32"/>
          <w:highlight w:val="none"/>
        </w:rPr>
        <w:t>《清远市城市生活垃圾</w:t>
      </w:r>
      <w:r>
        <w:rPr>
          <w:rFonts w:hint="eastAsia" w:ascii="仿宋_GB2312" w:hAnsi="仿宋_GB2312" w:eastAsia="仿宋_GB2312" w:cs="仿宋_GB2312"/>
          <w:color w:val="auto"/>
          <w:sz w:val="32"/>
          <w:szCs w:val="32"/>
          <w:highlight w:val="none"/>
          <w:lang w:val="en-US" w:eastAsia="zh-CN"/>
        </w:rPr>
        <w:t>管理</w:t>
      </w:r>
      <w:r>
        <w:rPr>
          <w:rFonts w:hint="eastAsia" w:ascii="仿宋_GB2312" w:hAnsi="仿宋_GB2312" w:eastAsia="仿宋_GB2312" w:cs="仿宋_GB2312"/>
          <w:color w:val="auto"/>
          <w:sz w:val="32"/>
          <w:szCs w:val="32"/>
          <w:highlight w:val="none"/>
        </w:rPr>
        <w:t>条例》。在此背景下，编制《清城区再生资源回收网点规划》（以下简称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规划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）具有以下意义：</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通过对清远市</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再生资源行业进行全面摸底调研，</w:t>
      </w:r>
      <w:r>
        <w:rPr>
          <w:rFonts w:hint="eastAsia" w:ascii="仿宋_GB2312" w:hAnsi="仿宋_GB2312" w:eastAsia="仿宋_GB2312" w:cs="仿宋_GB2312"/>
          <w:color w:val="auto"/>
          <w:sz w:val="32"/>
          <w:szCs w:val="32"/>
          <w:highlight w:val="none"/>
          <w:lang w:val="en-US" w:eastAsia="zh-CN"/>
        </w:rPr>
        <w:t>了解发展现状。《规划》的编制是</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回收处理体系市场运营机制和</w:t>
      </w:r>
      <w:r>
        <w:rPr>
          <w:rFonts w:hint="eastAsia" w:ascii="仿宋_GB2312" w:hAnsi="仿宋_GB2312" w:eastAsia="仿宋_GB2312" w:cs="仿宋_GB2312"/>
          <w:color w:val="auto"/>
          <w:sz w:val="32"/>
          <w:szCs w:val="32"/>
          <w:highlight w:val="none"/>
          <w:lang w:val="en-US" w:eastAsia="zh-CN"/>
        </w:rPr>
        <w:t>监督</w:t>
      </w:r>
      <w:r>
        <w:rPr>
          <w:rFonts w:hint="eastAsia" w:ascii="仿宋_GB2312" w:hAnsi="仿宋_GB2312" w:eastAsia="仿宋_GB2312" w:cs="仿宋_GB2312"/>
          <w:color w:val="auto"/>
          <w:sz w:val="32"/>
          <w:szCs w:val="32"/>
          <w:highlight w:val="none"/>
        </w:rPr>
        <w:t>管理机制进行</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深入</w:t>
      </w:r>
      <w:r>
        <w:rPr>
          <w:rFonts w:hint="eastAsia" w:ascii="仿宋_GB2312" w:hAnsi="仿宋_GB2312" w:eastAsia="仿宋_GB2312" w:cs="仿宋_GB2312"/>
          <w:color w:val="auto"/>
          <w:sz w:val="32"/>
          <w:szCs w:val="32"/>
          <w:highlight w:val="none"/>
          <w:lang w:val="en-US" w:eastAsia="zh-CN"/>
        </w:rPr>
        <w:t>探索</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引导建立符合市场机制的再生资源回收网络，</w:t>
      </w:r>
      <w:r>
        <w:rPr>
          <w:rFonts w:hint="eastAsia" w:ascii="仿宋_GB2312" w:hAnsi="仿宋_GB2312" w:eastAsia="仿宋_GB2312" w:cs="仿宋_GB2312"/>
          <w:color w:val="auto"/>
          <w:sz w:val="32"/>
          <w:szCs w:val="32"/>
          <w:highlight w:val="none"/>
        </w:rPr>
        <w:t>为下一步清远市再生资源回收利用体系建设提供</w:t>
      </w:r>
      <w:r>
        <w:rPr>
          <w:rFonts w:hint="eastAsia" w:ascii="仿宋_GB2312" w:hAnsi="仿宋_GB2312" w:eastAsia="仿宋_GB2312" w:cs="仿宋_GB2312"/>
          <w:color w:val="auto"/>
          <w:sz w:val="32"/>
          <w:szCs w:val="32"/>
          <w:highlight w:val="none"/>
          <w:lang w:val="en-US" w:eastAsia="zh-CN"/>
        </w:rPr>
        <w:t>示范与支撑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通过借鉴分析北京、上海、</w:t>
      </w:r>
      <w:r>
        <w:rPr>
          <w:rFonts w:hint="eastAsia" w:ascii="仿宋_GB2312" w:hAnsi="仿宋_GB2312" w:eastAsia="仿宋_GB2312" w:cs="仿宋_GB2312"/>
          <w:color w:val="auto"/>
          <w:sz w:val="32"/>
          <w:szCs w:val="32"/>
          <w:highlight w:val="none"/>
          <w:lang w:val="en-US" w:eastAsia="zh-CN"/>
        </w:rPr>
        <w:t>广州、宁波</w:t>
      </w:r>
      <w:r>
        <w:rPr>
          <w:rFonts w:hint="eastAsia" w:ascii="仿宋_GB2312" w:hAnsi="仿宋_GB2312" w:eastAsia="仿宋_GB2312" w:cs="仿宋_GB2312"/>
          <w:color w:val="auto"/>
          <w:sz w:val="32"/>
          <w:szCs w:val="32"/>
          <w:highlight w:val="none"/>
        </w:rPr>
        <w:t>等城市的案例，</w:t>
      </w:r>
      <w:r>
        <w:rPr>
          <w:rFonts w:hint="eastAsia" w:ascii="仿宋_GB2312" w:hAnsi="仿宋_GB2312" w:eastAsia="仿宋_GB2312" w:cs="仿宋_GB2312"/>
          <w:color w:val="auto"/>
          <w:sz w:val="32"/>
          <w:szCs w:val="32"/>
          <w:highlight w:val="none"/>
          <w:lang w:val="en-US" w:eastAsia="zh-CN"/>
        </w:rPr>
        <w:t>结合本地实际发展情况</w:t>
      </w:r>
      <w:r>
        <w:rPr>
          <w:rFonts w:hint="eastAsia" w:ascii="仿宋_GB2312" w:hAnsi="仿宋_GB2312" w:eastAsia="仿宋_GB2312" w:cs="仿宋_GB2312"/>
          <w:color w:val="auto"/>
          <w:sz w:val="32"/>
          <w:szCs w:val="32"/>
          <w:highlight w:val="none"/>
        </w:rPr>
        <w:t>进行研究，</w:t>
      </w:r>
      <w:r>
        <w:rPr>
          <w:rFonts w:hint="eastAsia" w:ascii="仿宋_GB2312" w:hAnsi="仿宋_GB2312" w:eastAsia="仿宋_GB2312" w:cs="仿宋_GB2312"/>
          <w:color w:val="auto"/>
          <w:sz w:val="32"/>
          <w:szCs w:val="32"/>
          <w:highlight w:val="none"/>
          <w:lang w:val="en-US" w:eastAsia="zh-CN"/>
        </w:rPr>
        <w:t>本《规划》</w:t>
      </w:r>
      <w:r>
        <w:rPr>
          <w:rFonts w:hint="eastAsia" w:ascii="仿宋_GB2312" w:hAnsi="仿宋_GB2312" w:eastAsia="仿宋_GB2312" w:cs="仿宋_GB2312"/>
          <w:color w:val="auto"/>
          <w:sz w:val="32"/>
          <w:szCs w:val="32"/>
          <w:highlight w:val="none"/>
        </w:rPr>
        <w:t>提出</w:t>
      </w:r>
      <w:r>
        <w:rPr>
          <w:rFonts w:hint="eastAsia" w:ascii="仿宋_GB2312" w:hAnsi="仿宋_GB2312" w:eastAsia="仿宋_GB2312" w:cs="仿宋_GB2312"/>
          <w:color w:val="auto"/>
          <w:sz w:val="32"/>
          <w:szCs w:val="32"/>
          <w:highlight w:val="none"/>
          <w:lang w:val="en-US" w:eastAsia="zh-CN"/>
        </w:rPr>
        <w:t>清城区再生资源</w:t>
      </w:r>
      <w:r>
        <w:rPr>
          <w:rFonts w:hint="eastAsia" w:ascii="仿宋_GB2312" w:hAnsi="仿宋_GB2312" w:eastAsia="仿宋_GB2312" w:cs="仿宋_GB2312"/>
          <w:color w:val="auto"/>
          <w:sz w:val="32"/>
          <w:szCs w:val="32"/>
          <w:highlight w:val="none"/>
        </w:rPr>
        <w:t>前端回收、运输、分拣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加工、处理全品类全过程体系再造方案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为构建标准化、智能化管控体系奠定坚实基础</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建立现代的、完整的、规范的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立体的再生资源</w:t>
      </w:r>
      <w:r>
        <w:rPr>
          <w:rFonts w:hint="eastAsia" w:ascii="仿宋_GB2312" w:hAnsi="仿宋_GB2312" w:eastAsia="仿宋_GB2312" w:cs="仿宋_GB2312"/>
          <w:color w:val="auto"/>
          <w:sz w:val="32"/>
          <w:szCs w:val="32"/>
          <w:highlight w:val="none"/>
        </w:rPr>
        <w:t>回收处理体系提供设计方案和规划蓝图，使</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体系与环卫</w:t>
      </w:r>
      <w:r>
        <w:rPr>
          <w:rFonts w:hint="eastAsia" w:ascii="仿宋_GB2312" w:hAnsi="仿宋_GB2312" w:eastAsia="仿宋_GB2312" w:cs="仿宋_GB2312"/>
          <w:color w:val="auto"/>
          <w:sz w:val="32"/>
          <w:szCs w:val="32"/>
          <w:highlight w:val="none"/>
          <w:lang w:val="en-US" w:eastAsia="zh-CN"/>
        </w:rPr>
        <w:t>收运系统</w:t>
      </w:r>
      <w:r>
        <w:rPr>
          <w:rFonts w:hint="eastAsia" w:ascii="仿宋_GB2312" w:hAnsi="仿宋_GB2312" w:eastAsia="仿宋_GB2312" w:cs="仿宋_GB2312"/>
          <w:color w:val="auto"/>
          <w:sz w:val="32"/>
          <w:szCs w:val="32"/>
          <w:highlight w:val="none"/>
        </w:rPr>
        <w:t>对接，形成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两网</w:t>
      </w:r>
      <w:r>
        <w:rPr>
          <w:rFonts w:hint="eastAsia" w:ascii="仿宋_GB2312" w:hAnsi="仿宋_GB2312" w:eastAsia="仿宋_GB2312" w:cs="仿宋_GB2312"/>
          <w:color w:val="auto"/>
          <w:sz w:val="32"/>
          <w:szCs w:val="32"/>
          <w:highlight w:val="none"/>
          <w:lang w:val="en-US" w:eastAsia="zh-CN"/>
        </w:rPr>
        <w:t>融合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协同机制，促进生活垃圾减量化</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资源化，提高</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回收利用率和资源化水平。</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94" w:name="_Toc29273"/>
      <w:bookmarkStart w:id="95" w:name="_Toc14128"/>
      <w:bookmarkStart w:id="96" w:name="_Toc29291"/>
      <w:bookmarkStart w:id="97" w:name="_Toc2056"/>
      <w:bookmarkStart w:id="98" w:name="_Toc27477"/>
      <w:bookmarkStart w:id="99" w:name="_Toc27454"/>
      <w:bookmarkStart w:id="100" w:name="_Toc1028"/>
      <w:bookmarkStart w:id="101" w:name="_Toc15817"/>
      <w:bookmarkStart w:id="102" w:name="_Toc4751"/>
      <w:r>
        <w:rPr>
          <w:rFonts w:hint="eastAsia" w:ascii="楷体_GB2312" w:hAnsi="楷体_GB2312" w:eastAsia="楷体_GB2312" w:cs="楷体_GB2312"/>
          <w:b w:val="0"/>
          <w:bCs w:val="0"/>
          <w:color w:val="auto"/>
          <w:sz w:val="32"/>
          <w:szCs w:val="32"/>
          <w:highlight w:val="none"/>
          <w:lang w:val="en-US" w:eastAsia="zh-CN"/>
        </w:rPr>
        <w:t>（二）规划目的</w:t>
      </w:r>
      <w:bookmarkEnd w:id="94"/>
      <w:bookmarkEnd w:id="95"/>
      <w:bookmarkEnd w:id="96"/>
      <w:bookmarkEnd w:id="97"/>
      <w:bookmarkEnd w:id="98"/>
      <w:bookmarkEnd w:id="99"/>
      <w:bookmarkEnd w:id="100"/>
      <w:bookmarkEnd w:id="101"/>
      <w:bookmarkEnd w:id="102"/>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《规划》立足于</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生态文明建设工作的全局，</w:t>
      </w:r>
      <w:r>
        <w:rPr>
          <w:rFonts w:hint="eastAsia" w:ascii="仿宋_GB2312" w:hAnsi="仿宋_GB2312" w:eastAsia="仿宋_GB2312" w:cs="仿宋_GB2312"/>
          <w:color w:val="auto"/>
          <w:sz w:val="32"/>
          <w:szCs w:val="32"/>
          <w:highlight w:val="none"/>
          <w:lang w:val="en-US" w:eastAsia="zh-CN"/>
        </w:rPr>
        <w:t>切实满足清城区</w:t>
      </w:r>
      <w:r>
        <w:rPr>
          <w:rFonts w:hint="eastAsia" w:ascii="仿宋_GB2312" w:hAnsi="仿宋_GB2312" w:eastAsia="仿宋_GB2312" w:cs="仿宋_GB2312"/>
          <w:color w:val="auto"/>
          <w:sz w:val="32"/>
          <w:szCs w:val="32"/>
          <w:highlight w:val="none"/>
        </w:rPr>
        <w:t>生活垃圾减量</w:t>
      </w:r>
      <w:r>
        <w:rPr>
          <w:rFonts w:hint="eastAsia" w:ascii="仿宋_GB2312" w:hAnsi="仿宋_GB2312" w:eastAsia="仿宋_GB2312" w:cs="仿宋_GB2312"/>
          <w:color w:val="auto"/>
          <w:sz w:val="32"/>
          <w:szCs w:val="32"/>
          <w:highlight w:val="none"/>
          <w:lang w:val="en-US" w:eastAsia="zh-CN"/>
        </w:rPr>
        <w:t>需求</w:t>
      </w:r>
      <w:r>
        <w:rPr>
          <w:rFonts w:hint="eastAsia" w:ascii="仿宋_GB2312" w:hAnsi="仿宋_GB2312" w:eastAsia="仿宋_GB2312" w:cs="仿宋_GB2312"/>
          <w:color w:val="auto"/>
          <w:sz w:val="32"/>
          <w:szCs w:val="32"/>
          <w:highlight w:val="none"/>
        </w:rPr>
        <w:t>，统一规划、合理布局再生资源回收网点，</w:t>
      </w:r>
      <w:r>
        <w:rPr>
          <w:rFonts w:hint="eastAsia" w:ascii="仿宋_GB2312" w:hAnsi="仿宋_GB2312" w:eastAsia="仿宋_GB2312" w:cs="仿宋_GB2312"/>
          <w:color w:val="auto"/>
          <w:sz w:val="32"/>
          <w:szCs w:val="32"/>
          <w:highlight w:val="none"/>
          <w:lang w:val="en-US" w:eastAsia="zh-CN"/>
        </w:rPr>
        <w:t>做好垃圾分类投放的配套基础，构建</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“社区回收</w:t>
      </w:r>
      <w:r>
        <w:rPr>
          <w:rFonts w:hint="eastAsia" w:ascii="仿宋_GB2312" w:hAnsi="仿宋_GB2312" w:eastAsia="仿宋_GB2312" w:cs="仿宋_GB2312"/>
          <w:color w:val="auto"/>
          <w:sz w:val="32"/>
          <w:szCs w:val="32"/>
          <w:highlight w:val="none"/>
          <w:lang w:val="en-US" w:eastAsia="zh-CN"/>
        </w:rPr>
        <w:t>网点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中转站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分拣中心</w:t>
      </w:r>
      <w:r>
        <w:rPr>
          <w:rFonts w:hint="eastAsia" w:ascii="仿宋_GB2312" w:hAnsi="仿宋_GB2312" w:eastAsia="仿宋_GB2312" w:cs="仿宋_GB2312"/>
          <w:color w:val="auto"/>
          <w:sz w:val="32"/>
          <w:szCs w:val="32"/>
          <w:highlight w:val="none"/>
          <w:lang w:eastAsia="zh-CN"/>
        </w:rPr>
        <w:t>——综合利用基地（</w:t>
      </w:r>
      <w:r>
        <w:rPr>
          <w:rFonts w:hint="eastAsia" w:ascii="仿宋_GB2312" w:hAnsi="仿宋_GB2312" w:eastAsia="仿宋_GB2312" w:cs="仿宋_GB2312"/>
          <w:color w:val="auto"/>
          <w:sz w:val="32"/>
          <w:szCs w:val="32"/>
          <w:highlight w:val="none"/>
          <w:lang w:val="en-US" w:eastAsia="zh-CN"/>
        </w:rPr>
        <w:t>园区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四级回收网点体系</w:t>
      </w:r>
      <w:r>
        <w:rPr>
          <w:rFonts w:hint="eastAsia" w:ascii="仿宋_GB2312" w:hAnsi="仿宋_GB2312" w:eastAsia="仿宋_GB2312" w:cs="仿宋_GB2312"/>
          <w:color w:val="auto"/>
          <w:sz w:val="32"/>
          <w:szCs w:val="32"/>
          <w:highlight w:val="none"/>
        </w:rPr>
        <w:t>，确保</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应收尽收、精准回收、高效利用、科学处置；</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rPr>
        <w:t>加快建立分类投放、分类收集、分类运输、分类处理的垃圾处理系统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构建城市再生资源回收体系奠定坚实的基础。</w:t>
      </w:r>
      <w:bookmarkStart w:id="103" w:name="_Toc25222"/>
      <w:bookmarkStart w:id="104" w:name="_Toc13190"/>
      <w:bookmarkStart w:id="105" w:name="_Toc25207"/>
      <w:bookmarkStart w:id="106" w:name="_Toc10395"/>
      <w:bookmarkStart w:id="107" w:name="_Toc32227"/>
    </w:p>
    <w:p>
      <w:pPr>
        <w:keepNext w:val="0"/>
        <w:keepLines w:val="0"/>
        <w:pageBreakBefore w:val="0"/>
        <w:widowControl w:val="0"/>
        <w:numPr>
          <w:ilvl w:val="0"/>
          <w:numId w:val="0"/>
        </w:numPr>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108" w:name="_Toc11680"/>
      <w:bookmarkStart w:id="109" w:name="_Toc9015"/>
      <w:bookmarkStart w:id="110" w:name="_Toc19111"/>
      <w:bookmarkStart w:id="111" w:name="_Toc5634"/>
      <w:r>
        <w:rPr>
          <w:rFonts w:hint="eastAsia" w:ascii="黑体" w:hAnsi="黑体" w:eastAsia="黑体" w:cs="黑体"/>
          <w:b w:val="0"/>
          <w:bCs w:val="0"/>
          <w:color w:val="auto"/>
          <w:sz w:val="32"/>
          <w:szCs w:val="32"/>
          <w:highlight w:val="none"/>
          <w:lang w:val="en-US" w:eastAsia="zh-CN"/>
        </w:rPr>
        <w:t>三、规划范围与对象</w:t>
      </w:r>
      <w:bookmarkEnd w:id="103"/>
      <w:bookmarkEnd w:id="104"/>
      <w:bookmarkEnd w:id="105"/>
      <w:bookmarkEnd w:id="106"/>
      <w:bookmarkEnd w:id="107"/>
      <w:bookmarkEnd w:id="108"/>
      <w:bookmarkEnd w:id="109"/>
      <w:bookmarkEnd w:id="110"/>
      <w:bookmarkEnd w:id="111"/>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112" w:name="_Toc10592"/>
      <w:bookmarkStart w:id="113" w:name="_Toc16892"/>
      <w:bookmarkStart w:id="114" w:name="_Toc3265"/>
      <w:bookmarkStart w:id="115" w:name="_Toc16321"/>
      <w:bookmarkStart w:id="116" w:name="_Toc14487"/>
      <w:bookmarkStart w:id="117" w:name="_Toc16320"/>
      <w:bookmarkStart w:id="118" w:name="_Toc17579"/>
      <w:bookmarkStart w:id="119" w:name="_Toc2318"/>
      <w:bookmarkStart w:id="120" w:name="_Toc15806"/>
      <w:r>
        <w:rPr>
          <w:rFonts w:hint="eastAsia" w:ascii="楷体_GB2312" w:hAnsi="楷体_GB2312" w:eastAsia="楷体_GB2312" w:cs="楷体_GB2312"/>
          <w:b w:val="0"/>
          <w:bCs w:val="0"/>
          <w:color w:val="auto"/>
          <w:sz w:val="32"/>
          <w:szCs w:val="32"/>
          <w:highlight w:val="none"/>
          <w:lang w:val="en-US" w:eastAsia="zh-CN"/>
        </w:rPr>
        <w:t>（一）规划范围</w:t>
      </w:r>
      <w:bookmarkEnd w:id="112"/>
      <w:bookmarkEnd w:id="113"/>
      <w:bookmarkEnd w:id="114"/>
      <w:bookmarkEnd w:id="115"/>
      <w:bookmarkEnd w:id="116"/>
      <w:bookmarkEnd w:id="117"/>
      <w:bookmarkEnd w:id="118"/>
      <w:bookmarkEnd w:id="119"/>
      <w:bookmarkEnd w:id="120"/>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针对清城区辖区范围内生产和生活环节产生的再生资源（不含进口再生资源和区外产生的再生资源），以</w:t>
      </w:r>
      <w:r>
        <w:rPr>
          <w:rFonts w:hint="eastAsia" w:ascii="仿宋_GB2312" w:hAnsi="仿宋_GB2312" w:eastAsia="仿宋_GB2312" w:cs="仿宋_GB2312"/>
          <w:color w:val="auto"/>
          <w:sz w:val="32"/>
          <w:szCs w:val="32"/>
          <w:highlight w:val="none"/>
        </w:rPr>
        <w:t>清城区8个</w:t>
      </w:r>
      <w:r>
        <w:rPr>
          <w:rFonts w:hint="eastAsia" w:ascii="仿宋_GB2312" w:hAnsi="仿宋_GB2312" w:eastAsia="仿宋_GB2312" w:cs="仿宋_GB2312"/>
          <w:color w:val="auto"/>
          <w:sz w:val="32"/>
          <w:szCs w:val="32"/>
          <w:highlight w:val="none"/>
          <w:lang w:val="en-US" w:eastAsia="zh-CN"/>
        </w:rPr>
        <w:t>镇（街道）</w:t>
      </w:r>
      <w:r>
        <w:rPr>
          <w:rFonts w:hint="eastAsia" w:ascii="仿宋_GB2312" w:hAnsi="仿宋_GB2312" w:eastAsia="仿宋_GB2312" w:cs="仿宋_GB2312"/>
          <w:color w:val="auto"/>
          <w:sz w:val="32"/>
          <w:szCs w:val="32"/>
          <w:highlight w:val="none"/>
        </w:rPr>
        <w:t>，包括凤城街道、东城街道、洲心街道、横荷街道</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源潭镇、龙塘镇、石角镇、飞来峡镇</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rPr>
        <w:t>规划范围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规范再生资源的收集、分类、分拣、运输、回收、加工全流程。</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121" w:name="_Toc1120"/>
      <w:bookmarkStart w:id="122" w:name="_Toc24410"/>
      <w:bookmarkStart w:id="123" w:name="_Toc11571"/>
      <w:bookmarkStart w:id="124" w:name="_Toc29359"/>
      <w:bookmarkStart w:id="125" w:name="_Toc20809"/>
      <w:bookmarkStart w:id="126" w:name="_Toc5514"/>
      <w:bookmarkStart w:id="127" w:name="_Toc77"/>
      <w:bookmarkStart w:id="128" w:name="_Toc8449"/>
      <w:bookmarkStart w:id="129" w:name="_Toc25495"/>
      <w:r>
        <w:rPr>
          <w:rFonts w:hint="eastAsia" w:ascii="楷体_GB2312" w:hAnsi="楷体_GB2312" w:eastAsia="楷体_GB2312" w:cs="楷体_GB2312"/>
          <w:b w:val="0"/>
          <w:bCs w:val="0"/>
          <w:color w:val="auto"/>
          <w:sz w:val="32"/>
          <w:szCs w:val="32"/>
          <w:highlight w:val="none"/>
          <w:lang w:val="en-US" w:eastAsia="zh-CN"/>
        </w:rPr>
        <w:t>（二）规划对象</w:t>
      </w:r>
      <w:bookmarkEnd w:id="121"/>
      <w:bookmarkEnd w:id="122"/>
      <w:bookmarkEnd w:id="123"/>
      <w:bookmarkEnd w:id="124"/>
      <w:bookmarkEnd w:id="125"/>
      <w:bookmarkEnd w:id="126"/>
      <w:bookmarkEnd w:id="127"/>
      <w:bookmarkEnd w:id="128"/>
      <w:bookmarkEnd w:id="129"/>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业态方面：</w:t>
      </w:r>
      <w:r>
        <w:rPr>
          <w:rFonts w:hint="eastAsia" w:ascii="仿宋_GB2312" w:hAnsi="仿宋_GB2312" w:eastAsia="仿宋_GB2312" w:cs="仿宋_GB2312"/>
          <w:color w:val="auto"/>
          <w:sz w:val="32"/>
          <w:szCs w:val="32"/>
          <w:highlight w:val="none"/>
        </w:rPr>
        <w:t>包括再生资源社区回收</w:t>
      </w:r>
      <w:r>
        <w:rPr>
          <w:rFonts w:hint="eastAsia" w:ascii="仿宋_GB2312" w:hAnsi="仿宋_GB2312" w:eastAsia="仿宋_GB2312" w:cs="仿宋_GB2312"/>
          <w:color w:val="auto"/>
          <w:sz w:val="32"/>
          <w:szCs w:val="32"/>
          <w:highlight w:val="none"/>
          <w:lang w:val="en-US" w:eastAsia="zh-CN"/>
        </w:rPr>
        <w:t>网点</w:t>
      </w:r>
      <w:r>
        <w:rPr>
          <w:rFonts w:hint="eastAsia" w:ascii="仿宋_GB2312" w:hAnsi="仿宋_GB2312" w:eastAsia="仿宋_GB2312" w:cs="仿宋_GB2312"/>
          <w:color w:val="auto"/>
          <w:sz w:val="32"/>
          <w:szCs w:val="32"/>
          <w:highlight w:val="none"/>
        </w:rPr>
        <w:t>、中转站、分拣中心、</w:t>
      </w:r>
      <w:r>
        <w:rPr>
          <w:rFonts w:hint="eastAsia" w:ascii="仿宋_GB2312" w:hAnsi="仿宋_GB2312" w:eastAsia="仿宋_GB2312" w:cs="仿宋_GB2312"/>
          <w:color w:val="auto"/>
          <w:sz w:val="32"/>
          <w:szCs w:val="32"/>
          <w:highlight w:val="none"/>
          <w:lang w:eastAsia="zh-CN"/>
        </w:rPr>
        <w:t>综合利用基地（</w:t>
      </w:r>
      <w:r>
        <w:rPr>
          <w:rFonts w:hint="eastAsia" w:ascii="仿宋_GB2312" w:hAnsi="仿宋_GB2312" w:eastAsia="仿宋_GB2312" w:cs="仿宋_GB2312"/>
          <w:color w:val="auto"/>
          <w:sz w:val="32"/>
          <w:szCs w:val="32"/>
          <w:highlight w:val="none"/>
          <w:lang w:val="en-US" w:eastAsia="zh-CN"/>
        </w:rPr>
        <w:t>园区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等。</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品类</w:t>
      </w:r>
      <w:r>
        <w:rPr>
          <w:rFonts w:hint="eastAsia" w:ascii="仿宋_GB2312" w:hAnsi="仿宋_GB2312" w:eastAsia="仿宋_GB2312" w:cs="仿宋_GB2312"/>
          <w:b/>
          <w:bCs/>
          <w:color w:val="auto"/>
          <w:sz w:val="32"/>
          <w:szCs w:val="32"/>
          <w:highlight w:val="none"/>
        </w:rPr>
        <w:t>方面：</w:t>
      </w:r>
      <w:r>
        <w:rPr>
          <w:rFonts w:hint="eastAsia" w:ascii="仿宋_GB2312" w:hAnsi="仿宋_GB2312" w:eastAsia="仿宋_GB2312" w:cs="仿宋_GB2312"/>
          <w:color w:val="auto"/>
          <w:sz w:val="32"/>
          <w:szCs w:val="32"/>
          <w:highlight w:val="none"/>
        </w:rPr>
        <w:t>重点包括废纸、废塑料、废钢铁、废铜铝、废玻璃、废木质、废织物，废橡胶、废电子产品、废机电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废</w:t>
      </w:r>
      <w:r>
        <w:rPr>
          <w:rFonts w:hint="eastAsia" w:ascii="仿宋_GB2312" w:hAnsi="仿宋_GB2312" w:eastAsia="仿宋_GB2312" w:cs="仿宋_GB2312"/>
          <w:color w:val="auto"/>
          <w:sz w:val="32"/>
          <w:szCs w:val="32"/>
          <w:highlight w:val="none"/>
        </w:rPr>
        <w:t>家电、废旧日用品等的回收，不包括</w:t>
      </w:r>
      <w:r>
        <w:rPr>
          <w:rFonts w:hint="eastAsia" w:ascii="仿宋_GB2312" w:hAnsi="仿宋_GB2312" w:eastAsia="仿宋_GB2312" w:cs="仿宋_GB2312"/>
          <w:color w:val="auto"/>
          <w:sz w:val="32"/>
          <w:szCs w:val="32"/>
          <w:highlight w:val="none"/>
          <w:lang w:val="en-US" w:eastAsia="zh-CN"/>
        </w:rPr>
        <w:t>生态环境部门特殊管理的工业固体废物</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危险废物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医疗废物等特种物品的回收。</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130" w:name="_Toc16480"/>
      <w:bookmarkStart w:id="131" w:name="_Toc7390"/>
      <w:bookmarkStart w:id="132" w:name="_Toc9960"/>
      <w:bookmarkStart w:id="133" w:name="_Toc29531"/>
      <w:bookmarkStart w:id="134" w:name="_Toc25679"/>
      <w:bookmarkStart w:id="135" w:name="_Toc9669"/>
      <w:bookmarkStart w:id="136" w:name="_Toc27224"/>
      <w:bookmarkStart w:id="137" w:name="_Toc21559"/>
      <w:bookmarkStart w:id="138" w:name="_Toc32050"/>
      <w:r>
        <w:rPr>
          <w:rFonts w:hint="eastAsia" w:ascii="黑体" w:hAnsi="黑体" w:eastAsia="黑体" w:cs="黑体"/>
          <w:b w:val="0"/>
          <w:bCs w:val="0"/>
          <w:color w:val="auto"/>
          <w:sz w:val="32"/>
          <w:szCs w:val="32"/>
          <w:highlight w:val="none"/>
          <w:lang w:val="en-US" w:eastAsia="zh-CN"/>
        </w:rPr>
        <w:t>四、规划依据</w:t>
      </w:r>
      <w:bookmarkEnd w:id="130"/>
      <w:bookmarkEnd w:id="131"/>
      <w:bookmarkEnd w:id="132"/>
      <w:bookmarkEnd w:id="133"/>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139" w:name="_Toc10391"/>
      <w:r>
        <w:rPr>
          <w:rFonts w:hint="eastAsia" w:ascii="楷体_GB2312" w:hAnsi="楷体_GB2312" w:eastAsia="楷体_GB2312" w:cs="楷体_GB2312"/>
          <w:b w:val="0"/>
          <w:bCs w:val="0"/>
          <w:color w:val="auto"/>
          <w:sz w:val="32"/>
          <w:szCs w:val="32"/>
          <w:highlight w:val="none"/>
          <w:lang w:val="en-US" w:eastAsia="zh-CN"/>
        </w:rPr>
        <w:t>（一）国家法律、法规及相关文件</w:t>
      </w:r>
      <w:bookmarkEnd w:id="139"/>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kern w:val="0"/>
          <w:sz w:val="32"/>
          <w:szCs w:val="32"/>
          <w:highlight w:val="none"/>
          <w:lang w:val="en-US" w:eastAsia="zh-CN" w:bidi="ar-SA"/>
        </w:rPr>
        <w:t>《住房城乡建设部关于加快推进部分重点城市生活垃圾分类工作的通知》</w:t>
      </w:r>
      <w:r>
        <w:rPr>
          <w:rFonts w:hint="eastAsia" w:ascii="仿宋_GB2312" w:hAnsi="仿宋_GB2312" w:eastAsia="仿宋_GB2312" w:cs="仿宋_GB2312"/>
          <w:color w:val="auto"/>
          <w:sz w:val="32"/>
          <w:szCs w:val="32"/>
          <w:highlight w:val="none"/>
        </w:rPr>
        <w:t>（建城〔2017〕253号）——2017年12月20日，住房城乡建设部印发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bidi="ar-SA"/>
        </w:rPr>
        <w:t>2.《关于推进资源循环利用基地建设的指导意见》</w:t>
      </w:r>
      <w:r>
        <w:rPr>
          <w:rFonts w:hint="eastAsia" w:ascii="仿宋_GB2312" w:hAnsi="仿宋_GB2312" w:eastAsia="仿宋_GB2312" w:cs="仿宋_GB2312"/>
          <w:color w:val="auto"/>
          <w:sz w:val="32"/>
          <w:szCs w:val="32"/>
          <w:highlight w:val="none"/>
        </w:rPr>
        <w:t>——2017年10月29日，国家发展改革委办公厅、财政部办公厅、住房城乡建设部办公厅联合印发；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bidi="ar-SA"/>
        </w:rPr>
        <w:t>3.《国务院办公厅关于转发国家发展改革委住房城乡建设部生活垃圾分类制度实施方案的通知》</w:t>
      </w:r>
      <w:r>
        <w:rPr>
          <w:rFonts w:hint="eastAsia" w:ascii="仿宋_GB2312" w:hAnsi="仿宋_GB2312" w:eastAsia="仿宋_GB2312" w:cs="仿宋_GB2312"/>
          <w:color w:val="auto"/>
          <w:sz w:val="32"/>
          <w:szCs w:val="32"/>
          <w:highlight w:val="none"/>
        </w:rPr>
        <w:t>（国办发〔2017〕26号）——2017年3月18日，国务院办公厅印发；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val="en-US" w:eastAsia="zh-CN" w:bidi="ar-SA"/>
        </w:rPr>
        <w:t>4.《关于推进再生资源回收行业转型升级的意见》</w:t>
      </w:r>
      <w:r>
        <w:rPr>
          <w:rFonts w:hint="eastAsia" w:ascii="仿宋_GB2312" w:hAnsi="仿宋_GB2312" w:eastAsia="仿宋_GB2312" w:cs="仿宋_GB2312"/>
          <w:i w:val="0"/>
          <w:iCs w:val="0"/>
          <w:caps w:val="0"/>
          <w:color w:val="auto"/>
          <w:spacing w:val="0"/>
          <w:sz w:val="32"/>
          <w:szCs w:val="32"/>
          <w:highlight w:val="none"/>
        </w:rPr>
        <w:t>（</w:t>
      </w:r>
      <w:r>
        <w:rPr>
          <w:rFonts w:hint="eastAsia" w:ascii="仿宋_GB2312" w:hAnsi="仿宋_GB2312" w:eastAsia="仿宋_GB2312" w:cs="仿宋_GB2312"/>
          <w:b w:val="0"/>
          <w:bCs w:val="0"/>
          <w:color w:val="auto"/>
          <w:kern w:val="0"/>
          <w:sz w:val="32"/>
          <w:szCs w:val="32"/>
          <w:highlight w:val="none"/>
          <w:lang w:val="en-US" w:eastAsia="zh-CN" w:bidi="ar-SA"/>
        </w:rPr>
        <w:t>商流通函〔2016〕206号）</w:t>
      </w:r>
      <w:r>
        <w:rPr>
          <w:rFonts w:hint="eastAsia" w:ascii="仿宋_GB2312" w:hAnsi="仿宋_GB2312" w:eastAsia="仿宋_GB2312" w:cs="仿宋_GB2312"/>
          <w:color w:val="auto"/>
          <w:sz w:val="32"/>
          <w:szCs w:val="32"/>
          <w:highlight w:val="none"/>
        </w:rPr>
        <w:t>——2016年5月5日，商务部、国家发展改革委、工业和信息化部、环境保护部、住房城乡建设部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供销合作总社等六部门联合印发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val="en-US" w:eastAsia="zh-CN" w:bidi="ar-SA"/>
        </w:rPr>
        <w:t>5.</w:t>
      </w:r>
      <w:r>
        <w:rPr>
          <w:rFonts w:hint="eastAsia" w:ascii="仿宋_GB2312" w:hAnsi="仿宋_GB2312" w:eastAsia="仿宋_GB2312" w:cs="仿宋_GB2312"/>
          <w:color w:val="auto"/>
          <w:sz w:val="32"/>
          <w:szCs w:val="32"/>
          <w:highlight w:val="none"/>
        </w:rPr>
        <w:t>《关于印发</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再生资源回收体系建设中长期规划（2015-2020）〉的通知》（商流通发〔2015〕21号）——2015年1月21日，商务部、国家发展改革委、国土资源部、住房城乡建设部、中华全国供销合作总社等5部门联合印发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《中华人民共和国环境保护法》（中</w:t>
      </w:r>
      <w:r>
        <w:rPr>
          <w:rFonts w:hint="eastAsia" w:ascii="仿宋_GB2312" w:hAnsi="仿宋_GB2312" w:eastAsia="仿宋_GB2312" w:cs="仿宋_GB2312"/>
          <w:color w:val="auto"/>
          <w:sz w:val="32"/>
          <w:szCs w:val="32"/>
          <w:highlight w:val="none"/>
          <w:lang w:val="en-US" w:eastAsia="zh-CN"/>
        </w:rPr>
        <w:t>华</w:t>
      </w:r>
      <w:r>
        <w:rPr>
          <w:rFonts w:hint="eastAsia" w:ascii="仿宋_GB2312" w:hAnsi="仿宋_GB2312" w:eastAsia="仿宋_GB2312" w:cs="仿宋_GB2312"/>
          <w:color w:val="auto"/>
          <w:sz w:val="32"/>
          <w:szCs w:val="32"/>
          <w:highlight w:val="none"/>
        </w:rPr>
        <w:t>人民共和国主席令第九号）——2014年4月24日第十二届全国人民代表大会常务委员会第八次会议修订通过并公布，自2015年1月1日起施行；</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《中华人民共和国清洁生产促进法》（中华人民共和国主席令第五十四号）——2012年2月29日第十一届全国人民代表大会常务委员会第二十五次会议修改通过并公布，自2012年7月1日起施行；</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《中华人民共和国循环经济促进法》（中华人民共和国主席令第四号）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2008年8月29日第十一届全国人民代表大会常务委员会第四次会议通过，自2009年1月1日起施行；</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《中华人民共和国城乡规划法》（中华人民共和国主席令第七十四号）——2007年10月28日第十届全国人民代表大会常务委员会第三十次会议通过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自2008年1月1日起施行</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0"/>
        </w:numPr>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再生资源回收管理办法》（中华人民共和国商务部、中华人民共和国国家发展和改革委员会、中华人民共和国公安部、中华人民共和国住房和城乡建设部、中华人民共和国国家工商行政管理总局、中华人民共和国国家环境保护总局令2007年第8号）——2007年3月27日发布，自2007年5月1日起施行；商务部令2019年第1号《商务部关于废止和修改部分规章的决定》于2019年发布并实施；</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《再生资源回收利用网络规范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GH/T1093-2014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》——2014年10月27日发布，自2014年12月1日实施，中华全国供销合作总社印发；</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《再生资源回收站点建设管理规范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SB/T10719-2012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》——2012年8月1日发布，2012年11月1日实施，商务部印发；</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《再生资源绿色分拣中心建设管理规范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SB/T10720-2021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》——2021年1月6日发布，2021年5月1日实施，商务部印发；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《区域性大型再生资源回收利用基地建设管理规范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SB/T10850-2012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中华人民共和国商务部公告2013年第1号）——2013年1月4日发布，2013年7月1日施行，商务部印发。</w:t>
      </w:r>
      <w:bookmarkStart w:id="140" w:name="_Toc8324"/>
      <w:bookmarkStart w:id="141" w:name="_Toc11926"/>
      <w:bookmarkStart w:id="142" w:name="_Toc29672"/>
      <w:bookmarkStart w:id="143" w:name="_Toc7004"/>
      <w:bookmarkStart w:id="144" w:name="_Toc13532"/>
      <w:bookmarkStart w:id="145" w:name="_Toc15266"/>
      <w:bookmarkStart w:id="146" w:name="_Toc30678"/>
      <w:bookmarkStart w:id="147" w:name="_Toc12052"/>
      <w:bookmarkStart w:id="148" w:name="_Toc26369"/>
      <w:bookmarkStart w:id="149" w:name="_Toc18912"/>
      <w:bookmarkStart w:id="150" w:name="_Toc25698"/>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rPr>
      </w:pPr>
      <w:bookmarkStart w:id="151" w:name="_Toc24465"/>
      <w:bookmarkStart w:id="152" w:name="_Toc6220"/>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二</w:t>
      </w: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广东省相关法规、文件、规划</w:t>
      </w:r>
      <w:bookmarkEnd w:id="140"/>
      <w:bookmarkEnd w:id="141"/>
      <w:bookmarkEnd w:id="142"/>
      <w:bookmarkEnd w:id="143"/>
      <w:bookmarkEnd w:id="144"/>
      <w:bookmarkEnd w:id="145"/>
      <w:bookmarkEnd w:id="146"/>
      <w:bookmarkEnd w:id="147"/>
      <w:bookmarkEnd w:id="148"/>
      <w:bookmarkEnd w:id="149"/>
      <w:bookmarkEnd w:id="150"/>
      <w:bookmarkEnd w:id="151"/>
      <w:bookmarkEnd w:id="152"/>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《广东省农村生活垃圾分类处理指引》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粤建城〔2017〕71号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 ——2017年3月24</w:t>
      </w:r>
      <w:r>
        <w:rPr>
          <w:rFonts w:hint="eastAsia" w:ascii="仿宋_GB2312" w:hAnsi="仿宋_GB2312" w:eastAsia="仿宋_GB2312" w:cs="仿宋_GB2312"/>
          <w:color w:val="auto"/>
          <w:sz w:val="32"/>
          <w:szCs w:val="32"/>
          <w:highlight w:val="none"/>
          <w:lang w:val="en-US" w:eastAsia="zh-CN"/>
        </w:rPr>
        <w:t>日</w:t>
      </w:r>
      <w:r>
        <w:rPr>
          <w:rFonts w:hint="eastAsia" w:ascii="仿宋_GB2312" w:hAnsi="仿宋_GB2312" w:eastAsia="仿宋_GB2312" w:cs="仿宋_GB2312"/>
          <w:color w:val="auto"/>
          <w:sz w:val="32"/>
          <w:szCs w:val="32"/>
          <w:highlight w:val="none"/>
        </w:rPr>
        <w:t>，广东省住房和城乡建设厅印发；</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《广东省固体废物污染环境防治条例》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广东省第十三届人民代表大会常务委员会公告（第18号）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 ——2018年12月29日广东省第十三届人民代表大会常务委员会第七次会议修订通过，自2019年3月1日起施行；</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《广东省再生资源回收行业发展规划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2020年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》（粤经信商贸函〔2010〕3328号）——2010年12月10日，广东省经济和信息化委员会印发；</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《关于促进再生资源产业健康发展的意见》（粤府办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9号）——2010年2月24日，广东省经济和信息化委员会印发；</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《广东省打好污染防治攻坚战三年行动计划（2018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2020年）》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粤办发〔2018〕29号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 ——2018年6月30日，中共广东省委办公厅、广东省人民政府办公厅印发</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《广东省环境保护厅关于固体废物污染防治三年行动计划（2018—2020年）》（粤环发〔2018〕5号）——2018年4月27日印发，自2018年6月1日起实施，广东省环境保护厅；</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《广东省打赢蓝天保卫战实施方案（2018</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2020年）》（粤府〔2018〕128号）——2019年1月12日发布，广东省人民政府印发；  </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广东省城乡生活垃圾管理条例》（广东省第十三届人民代表大会常务委员会（第75号））——2020年11月27日，广东省第十三届人民代表大会常委会第二十六次会议修订通过，自2021年1月1日起施行，广东省人民代表大会常务委员会；</w:t>
      </w:r>
    </w:p>
    <w:p>
      <w:pPr>
        <w:keepNext w:val="0"/>
        <w:keepLines w:val="0"/>
        <w:pageBreakBefore w:val="0"/>
        <w:widowControl w:val="0"/>
        <w:kinsoku/>
        <w:wordWrap w:val="0"/>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《关于推进再生资源回收体系建设 促进生活垃圾减量化资源化的通知》（粤商务管字〔2020〕29号）——2020年12月16日发文，广东省商务厅、广东省发展和改革委员会、广东省工业和信息化厅、广东省财政厅、广东省自然资源厅、广东省住房和城乡建设厅、广东省农业农村厅、广东省供销合作联社等八部门联合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rPr>
      </w:pPr>
      <w:bookmarkStart w:id="153" w:name="_Toc4696"/>
      <w:bookmarkStart w:id="154" w:name="_Toc29391"/>
      <w:bookmarkStart w:id="155" w:name="_Toc1441"/>
      <w:bookmarkStart w:id="156" w:name="_Toc18515"/>
      <w:bookmarkStart w:id="157" w:name="_Toc19101"/>
      <w:bookmarkStart w:id="158" w:name="_Toc5670"/>
      <w:bookmarkStart w:id="159" w:name="_Toc29180"/>
      <w:bookmarkStart w:id="160" w:name="_Toc6432"/>
      <w:bookmarkStart w:id="161" w:name="_Toc5935"/>
      <w:bookmarkStart w:id="162" w:name="_Toc9468"/>
      <w:bookmarkStart w:id="163" w:name="_Toc5906"/>
      <w:bookmarkStart w:id="164" w:name="_Toc12766"/>
      <w:bookmarkStart w:id="165" w:name="_Toc29353"/>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清远市相关法规、文件、规划</w:t>
      </w:r>
      <w:bookmarkEnd w:id="153"/>
      <w:bookmarkEnd w:id="154"/>
      <w:bookmarkEnd w:id="155"/>
      <w:bookmarkEnd w:id="156"/>
      <w:bookmarkEnd w:id="157"/>
      <w:bookmarkEnd w:id="158"/>
      <w:bookmarkEnd w:id="159"/>
      <w:bookmarkEnd w:id="160"/>
      <w:bookmarkEnd w:id="161"/>
      <w:bookmarkEnd w:id="162"/>
      <w:bookmarkEnd w:id="163"/>
      <w:bookmarkEnd w:id="164"/>
      <w:bookmarkEnd w:id="165"/>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《清远市生活垃圾分类三年行动方案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2019-2021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》——2019年7月22日，清远市城市管理和综合执法局印发；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《清远市城市生活垃圾分类实施方案》（清府办〔2020〕18号）——2020年4月27日，清远市人民政府办公室印发；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《清远市城市市容和环境卫生管理条例》——2017年11月1日清远市第七届人民代表大会常务委员会第六次会议通过  2017年11月30日广东省第十二届人民代表大会常务委员会第三十七次会议批准  根据2018年12月27日清远市第七届人民代表大会常务委员会第二十一次会议通过 2019年3月28日广东省第十三届人民代表大会常务委员会第十一次会议批准的《清远市人民代表大会常务委员会关于修改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清远市饮用水源水质保护条例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清远市城市市容和环境卫生管理条例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的决定》修正，自2018年1月1日起施行；</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《清远市再生资源回收管理暂行办法》（清府办〔2020〕5号）——2020年2月21日颁布并实施，清远市人民政府办公室印发；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《清远市城市生活垃圾管理条例》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清远市第七届人民代表大会常务委员会公告（第28号）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 xml:space="preserve"> —— 2021年4月28日于清远市第七届人民代表大会常务委员会第四十九次会议通过，2021年5月26日于广东省第十三届人民代表大会常务委员会第三十二次会议批准，自2021年9月1日起施行，清远市人民代表大会常务委员会印发；</w:t>
      </w:r>
    </w:p>
    <w:p>
      <w:pPr>
        <w:keepNext w:val="0"/>
        <w:keepLines w:val="0"/>
        <w:pageBreakBefore w:val="0"/>
        <w:widowControl w:val="0"/>
        <w:kinsoku/>
        <w:overflowPunct/>
        <w:topLinePunct w:val="0"/>
        <w:autoSpaceDE/>
        <w:autoSpaceDN/>
        <w:bidi w:val="0"/>
        <w:adjustRightInd/>
        <w:snapToGrid/>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《清远市“三线一单”生态环境分区管控方案》（清府〔2021〕22号）——2021年8月6日发布并实施，清远市人民政府印发。</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rPr>
      </w:pPr>
      <w:bookmarkStart w:id="166" w:name="_Toc6240"/>
      <w:bookmarkStart w:id="167" w:name="_Toc31662"/>
      <w:bookmarkStart w:id="168" w:name="_Toc27707"/>
      <w:bookmarkStart w:id="169" w:name="_Toc26302"/>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规划期限</w:t>
      </w:r>
      <w:bookmarkEnd w:id="134"/>
      <w:bookmarkEnd w:id="135"/>
      <w:bookmarkEnd w:id="136"/>
      <w:bookmarkEnd w:id="137"/>
      <w:bookmarkEnd w:id="138"/>
      <w:bookmarkEnd w:id="166"/>
      <w:bookmarkEnd w:id="167"/>
      <w:bookmarkEnd w:id="168"/>
      <w:bookmarkEnd w:id="169"/>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本《规划》期限为202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至20</w:t>
      </w:r>
      <w:r>
        <w:rPr>
          <w:rFonts w:hint="eastAsia" w:ascii="仿宋_GB2312" w:hAnsi="仿宋_GB2312" w:eastAsia="仿宋_GB2312" w:cs="仿宋_GB2312"/>
          <w:color w:val="auto"/>
          <w:sz w:val="32"/>
          <w:szCs w:val="32"/>
          <w:highlight w:val="none"/>
          <w:lang w:eastAsia="zh-CN"/>
        </w:rPr>
        <w:t>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bookmarkStart w:id="170" w:name="_Toc31095"/>
      <w:bookmarkStart w:id="171" w:name="_Toc31927"/>
      <w:bookmarkStart w:id="172" w:name="_Toc21228"/>
      <w:bookmarkStart w:id="173" w:name="_Toc31055"/>
      <w:bookmarkStart w:id="174" w:name="_Toc30007"/>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175" w:name="_Toc25041"/>
      <w:bookmarkStart w:id="176" w:name="_Toc27277"/>
      <w:bookmarkStart w:id="177" w:name="_Toc17570"/>
      <w:bookmarkStart w:id="178" w:name="_Toc15029"/>
      <w:r>
        <w:rPr>
          <w:rFonts w:hint="eastAsia" w:ascii="黑体" w:hAnsi="黑体" w:eastAsia="黑体" w:cs="黑体"/>
          <w:b w:val="0"/>
          <w:bCs w:val="0"/>
          <w:color w:val="auto"/>
          <w:sz w:val="32"/>
          <w:szCs w:val="32"/>
          <w:highlight w:val="none"/>
          <w:lang w:val="en-US" w:eastAsia="zh-CN"/>
        </w:rPr>
        <w:t>六、名词解释</w:t>
      </w:r>
      <w:bookmarkEnd w:id="170"/>
      <w:bookmarkEnd w:id="171"/>
      <w:bookmarkEnd w:id="172"/>
      <w:bookmarkEnd w:id="173"/>
      <w:bookmarkEnd w:id="174"/>
      <w:bookmarkEnd w:id="175"/>
      <w:bookmarkEnd w:id="176"/>
      <w:bookmarkEnd w:id="177"/>
      <w:bookmarkEnd w:id="178"/>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一</w:t>
      </w: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再生资源：</w:t>
      </w:r>
      <w:r>
        <w:rPr>
          <w:rFonts w:hint="eastAsia" w:ascii="仿宋_GB2312" w:hAnsi="仿宋_GB2312" w:eastAsia="仿宋_GB2312" w:cs="仿宋_GB2312"/>
          <w:color w:val="auto"/>
          <w:sz w:val="32"/>
          <w:szCs w:val="32"/>
          <w:highlight w:val="none"/>
        </w:rPr>
        <w:t>根据商务部等六部门联合发布的《再生资源回收</w:t>
      </w:r>
      <w:r>
        <w:rPr>
          <w:rFonts w:hint="eastAsia" w:ascii="仿宋_GB2312" w:hAnsi="仿宋_GB2312" w:eastAsia="仿宋_GB2312" w:cs="仿宋_GB2312"/>
          <w:color w:val="auto"/>
          <w:sz w:val="32"/>
          <w:szCs w:val="32"/>
          <w:highlight w:val="none"/>
          <w:lang w:val="en-US" w:eastAsia="zh-CN"/>
        </w:rPr>
        <w:t>管理</w:t>
      </w:r>
      <w:r>
        <w:rPr>
          <w:rFonts w:hint="eastAsia" w:ascii="仿宋_GB2312" w:hAnsi="仿宋_GB2312" w:eastAsia="仿宋_GB2312" w:cs="仿宋_GB2312"/>
          <w:color w:val="auto"/>
          <w:sz w:val="32"/>
          <w:szCs w:val="32"/>
          <w:highlight w:val="none"/>
        </w:rPr>
        <w:t>办法》，再生资源是指在社会生产和生活消费过程中产生的，</w:t>
      </w:r>
      <w:r>
        <w:rPr>
          <w:rFonts w:hint="eastAsia" w:ascii="仿宋_GB2312" w:hAnsi="仿宋_GB2312" w:eastAsia="仿宋_GB2312" w:cs="仿宋_GB2312"/>
          <w:color w:val="auto"/>
          <w:sz w:val="32"/>
          <w:szCs w:val="32"/>
          <w:highlight w:val="none"/>
          <w:lang w:eastAsia="zh-CN"/>
        </w:rPr>
        <w:t>已经</w:t>
      </w:r>
      <w:r>
        <w:rPr>
          <w:rFonts w:hint="eastAsia" w:ascii="仿宋_GB2312" w:hAnsi="仿宋_GB2312" w:eastAsia="仿宋_GB2312" w:cs="仿宋_GB2312"/>
          <w:color w:val="auto"/>
          <w:sz w:val="32"/>
          <w:szCs w:val="32"/>
          <w:highlight w:val="none"/>
        </w:rPr>
        <w:t>失去原有全部或部分使用价值，经过回收、加工处理，能够使其重新获得使用价值的各种废弃物。</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再生资源包括废旧金属、报废电子产品、报废机电设备及其零部件、废造纸原料（如废纸、废棉等）、废轻化工原料（如橡胶、塑料、动物杂骨、毛发等）、废玻璃等。</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（二）再生资源分类：</w:t>
      </w:r>
      <w:r>
        <w:rPr>
          <w:rFonts w:hint="eastAsia" w:ascii="仿宋_GB2312" w:hAnsi="仿宋_GB2312" w:eastAsia="仿宋_GB2312" w:cs="仿宋_GB2312"/>
          <w:color w:val="auto"/>
          <w:sz w:val="32"/>
          <w:szCs w:val="32"/>
          <w:highlight w:val="none"/>
          <w:lang w:val="en-US" w:eastAsia="zh-CN"/>
        </w:rPr>
        <w:t>按来源分为生产性再生资源、生活性再生资源和其他特定废旧物品。</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1.生产性再生资源：</w:t>
      </w:r>
      <w:r>
        <w:rPr>
          <w:rFonts w:hint="eastAsia" w:ascii="仿宋_GB2312" w:hAnsi="仿宋_GB2312" w:eastAsia="仿宋_GB2312" w:cs="仿宋_GB2312"/>
          <w:b w:val="0"/>
          <w:bCs w:val="0"/>
          <w:color w:val="auto"/>
          <w:sz w:val="32"/>
          <w:szCs w:val="32"/>
          <w:highlight w:val="none"/>
          <w:lang w:val="en-US" w:eastAsia="zh-CN"/>
        </w:rPr>
        <w:t>包括生产过程中产生的金属和非金属废料，生产过程使用的报废的机械设备、机动车辆等，原材料及产品包装产生的废纸、废薄膜、废木块等，作为废旧物资处理的仓储积压产品、残次品；</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2.生活性再生资源</w:t>
      </w:r>
      <w:r>
        <w:rPr>
          <w:rFonts w:hint="eastAsia" w:ascii="仿宋_GB2312" w:hAnsi="仿宋_GB2312" w:eastAsia="仿宋_GB2312" w:cs="仿宋_GB2312"/>
          <w:color w:val="auto"/>
          <w:sz w:val="32"/>
          <w:szCs w:val="32"/>
          <w:highlight w:val="none"/>
          <w:lang w:val="en-US" w:eastAsia="zh-CN"/>
        </w:rPr>
        <w:t>：包括生活过程中产生的废旧金属、塑料、纸张、棉麻、毛、骨、玻璃、橡胶等；</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3.其他特定废旧物品：</w:t>
      </w:r>
      <w:r>
        <w:rPr>
          <w:rFonts w:hint="eastAsia" w:ascii="仿宋_GB2312" w:hAnsi="仿宋_GB2312" w:eastAsia="仿宋_GB2312" w:cs="仿宋_GB2312"/>
          <w:b w:val="0"/>
          <w:bCs w:val="0"/>
          <w:color w:val="auto"/>
          <w:sz w:val="32"/>
          <w:szCs w:val="32"/>
          <w:highlight w:val="none"/>
          <w:lang w:val="en-US" w:eastAsia="zh-CN"/>
        </w:rPr>
        <w:t>包括废旧电子产品、电池、医疗器械等（生态环境部门对工业固体废物、危险废物、医疗废物等特种物品纳入特殊管理）。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（三）可回收物：</w:t>
      </w:r>
      <w:r>
        <w:rPr>
          <w:rFonts w:hint="eastAsia" w:ascii="仿宋_GB2312" w:hAnsi="仿宋_GB2312" w:eastAsia="仿宋_GB2312" w:cs="仿宋_GB2312"/>
          <w:color w:val="auto"/>
          <w:sz w:val="32"/>
          <w:szCs w:val="32"/>
          <w:highlight w:val="none"/>
          <w:lang w:val="en-US" w:eastAsia="zh-CN"/>
        </w:rPr>
        <w:t>根据《广东省城乡生活垃圾管理条例》，城乡生活垃圾分为四类：可回收物、厨余垃圾、有害垃圾、其他垃圾。根据《城市生活垃圾分类及其评价标准》行业标准，可回收物是指适宜回收循环使用和资源利用的废物。主要包括纸类、塑料、金属、玻璃以及织物等。</w:t>
      </w:r>
    </w:p>
    <w:p>
      <w:pPr>
        <w:keepNext w:val="0"/>
        <w:keepLines w:val="0"/>
        <w:pageBreakBefore w:val="0"/>
        <w:widowControl w:val="0"/>
        <w:kinsoku/>
        <w:wordWrap/>
        <w:overflowPunct/>
        <w:topLinePunct w:val="0"/>
        <w:autoSpaceDE/>
        <w:autoSpaceDN/>
        <w:bidi w:val="0"/>
        <w:jc w:val="both"/>
        <w:textAlignment w:val="auto"/>
        <w:rPr>
          <w:rFonts w:hint="eastAsia" w:ascii="黑体" w:hAnsi="黑体" w:eastAsia="黑体" w:cs="黑体"/>
          <w:color w:val="auto"/>
          <w:sz w:val="32"/>
          <w:szCs w:val="32"/>
          <w:highlight w:val="none"/>
        </w:rPr>
        <w:sectPr>
          <w:footerReference r:id="rId5" w:type="default"/>
          <w:pgSz w:w="11906" w:h="16838"/>
          <w:pgMar w:top="1440" w:right="1800" w:bottom="1440" w:left="1800" w:header="851" w:footer="992" w:gutter="0"/>
          <w:pgNumType w:fmt="numberInDash" w:start="1"/>
          <w:cols w:space="720" w:num="1"/>
          <w:docGrid w:type="lines" w:linePitch="312" w:charSpace="0"/>
        </w:sectPr>
      </w:pPr>
      <w:bookmarkStart w:id="179" w:name="_Toc17352"/>
      <w:bookmarkStart w:id="180" w:name="_Toc18523"/>
      <w:bookmarkStart w:id="181" w:name="_Toc3879"/>
      <w:bookmarkStart w:id="182" w:name="_Toc12102"/>
      <w:bookmarkStart w:id="183" w:name="_Toc13248"/>
    </w:p>
    <w:p>
      <w:pPr>
        <w:keepNext w:val="0"/>
        <w:keepLines w:val="0"/>
        <w:pageBreakBefore w:val="0"/>
        <w:widowControl w:val="0"/>
        <w:kinsoku/>
        <w:wordWrap/>
        <w:overflowPunct/>
        <w:topLinePunct w:val="0"/>
        <w:autoSpaceDE/>
        <w:autoSpaceDN/>
        <w:bidi w:val="0"/>
        <w:adjustRightInd/>
        <w:snapToGrid/>
        <w:spacing w:before="625" w:beforeLines="200" w:after="625" w:afterLines="200"/>
        <w:jc w:val="center"/>
        <w:textAlignment w:val="auto"/>
        <w:outlineLvl w:val="0"/>
        <w:rPr>
          <w:rFonts w:hint="eastAsia" w:ascii="仿宋_GB2312" w:hAnsi="仿宋_GB2312" w:eastAsia="仿宋_GB2312" w:cs="仿宋_GB2312"/>
          <w:b/>
          <w:bCs/>
          <w:color w:val="auto"/>
          <w:sz w:val="32"/>
          <w:szCs w:val="32"/>
          <w:highlight w:val="none"/>
          <w:lang w:val="en-US" w:eastAsia="zh-CN"/>
        </w:rPr>
      </w:pPr>
      <w:bookmarkStart w:id="184" w:name="_Toc9545"/>
      <w:r>
        <w:rPr>
          <w:rFonts w:hint="eastAsia" w:ascii="黑体" w:hAnsi="黑体" w:eastAsia="黑体" w:cs="黑体"/>
          <w:color w:val="auto"/>
          <w:sz w:val="32"/>
          <w:szCs w:val="32"/>
          <w:highlight w:val="none"/>
        </w:rPr>
        <w:t>第二章  指导思想与目标</w:t>
      </w:r>
      <w:bookmarkEnd w:id="179"/>
      <w:bookmarkEnd w:id="180"/>
      <w:bookmarkEnd w:id="181"/>
      <w:bookmarkEnd w:id="182"/>
      <w:bookmarkEnd w:id="183"/>
      <w:bookmarkEnd w:id="184"/>
      <w:bookmarkStart w:id="185" w:name="_Toc25165"/>
      <w:bookmarkStart w:id="186" w:name="_Toc10442"/>
      <w:bookmarkStart w:id="187" w:name="_Toc2361"/>
      <w:bookmarkStart w:id="188" w:name="_Toc31319"/>
      <w:bookmarkStart w:id="189" w:name="_Toc1182"/>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190" w:name="_Toc10269"/>
      <w:bookmarkStart w:id="191" w:name="_Toc1042"/>
      <w:bookmarkStart w:id="192" w:name="_Toc23396"/>
      <w:bookmarkStart w:id="193" w:name="_Toc30861"/>
      <w:r>
        <w:rPr>
          <w:rFonts w:hint="eastAsia" w:ascii="黑体" w:hAnsi="黑体" w:eastAsia="黑体" w:cs="黑体"/>
          <w:b w:val="0"/>
          <w:bCs w:val="0"/>
          <w:color w:val="auto"/>
          <w:sz w:val="32"/>
          <w:szCs w:val="32"/>
          <w:highlight w:val="none"/>
          <w:lang w:val="en-US" w:eastAsia="zh-CN"/>
        </w:rPr>
        <w:t>一、规划指导思想</w:t>
      </w:r>
      <w:bookmarkEnd w:id="185"/>
      <w:bookmarkEnd w:id="186"/>
      <w:bookmarkEnd w:id="187"/>
      <w:bookmarkEnd w:id="188"/>
      <w:bookmarkEnd w:id="189"/>
      <w:bookmarkEnd w:id="190"/>
      <w:bookmarkEnd w:id="191"/>
      <w:bookmarkEnd w:id="192"/>
      <w:bookmarkEnd w:id="19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以习近平新时代中国特色社会主义思想为指导，全面贯彻落实党的</w:t>
      </w:r>
      <w:r>
        <w:rPr>
          <w:rFonts w:hint="eastAsia" w:ascii="仿宋_GB2312" w:hAnsi="仿宋_GB2312" w:eastAsia="仿宋_GB2312" w:cs="仿宋_GB2312"/>
          <w:color w:val="auto"/>
          <w:sz w:val="32"/>
          <w:szCs w:val="32"/>
          <w:highlight w:val="none"/>
          <w:lang w:eastAsia="zh-CN"/>
        </w:rPr>
        <w:t>二十大</w:t>
      </w:r>
      <w:r>
        <w:rPr>
          <w:rFonts w:hint="eastAsia" w:ascii="仿宋_GB2312" w:hAnsi="仿宋_GB2312" w:eastAsia="仿宋_GB2312" w:cs="仿宋_GB2312"/>
          <w:color w:val="auto"/>
          <w:sz w:val="32"/>
          <w:szCs w:val="32"/>
          <w:highlight w:val="none"/>
        </w:rPr>
        <w:t>和习近平总书记视察广东重要讲话精神，按照生态文明建设、打赢环保攻坚战的总体要求，紧紧抓住粤港澳大湾区建设重大历史机遇，牢固树立创新、协调、绿色、开放、共享的</w:t>
      </w:r>
      <w:r>
        <w:rPr>
          <w:rFonts w:hint="eastAsia" w:ascii="仿宋_GB2312" w:hAnsi="仿宋_GB2312" w:eastAsia="仿宋_GB2312" w:cs="仿宋_GB2312"/>
          <w:color w:val="auto"/>
          <w:sz w:val="32"/>
          <w:szCs w:val="32"/>
          <w:highlight w:val="none"/>
          <w:lang w:val="en-US" w:eastAsia="zh-CN"/>
        </w:rPr>
        <w:t>新</w:t>
      </w:r>
      <w:r>
        <w:rPr>
          <w:rFonts w:hint="eastAsia" w:ascii="仿宋_GB2312" w:hAnsi="仿宋_GB2312" w:eastAsia="仿宋_GB2312" w:cs="仿宋_GB2312"/>
          <w:color w:val="auto"/>
          <w:sz w:val="32"/>
          <w:szCs w:val="32"/>
          <w:highlight w:val="none"/>
        </w:rPr>
        <w:t>发展理念，全面落实创新驱动发展战略，</w:t>
      </w:r>
      <w:r>
        <w:rPr>
          <w:rFonts w:hint="eastAsia" w:ascii="仿宋_GB2312" w:hAnsi="仿宋_GB2312" w:eastAsia="仿宋_GB2312" w:cs="仿宋_GB2312"/>
          <w:color w:val="auto"/>
          <w:sz w:val="32"/>
          <w:szCs w:val="32"/>
          <w:highlight w:val="none"/>
          <w:lang w:val="en-US" w:eastAsia="zh-CN"/>
        </w:rPr>
        <w:t>以市场为导向，</w:t>
      </w:r>
      <w:r>
        <w:rPr>
          <w:rFonts w:hint="eastAsia" w:ascii="仿宋_GB2312" w:hAnsi="仿宋_GB2312" w:eastAsia="仿宋_GB2312" w:cs="仿宋_GB2312"/>
          <w:color w:val="auto"/>
          <w:sz w:val="32"/>
          <w:szCs w:val="32"/>
          <w:highlight w:val="none"/>
        </w:rPr>
        <w:t>加快发展方式转变为目标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围绕产业链加强主导产业要素协同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技术创新重构再生资源体系，</w:t>
      </w:r>
      <w:r>
        <w:rPr>
          <w:rFonts w:hint="eastAsia" w:ascii="仿宋_GB2312" w:hAnsi="仿宋_GB2312" w:eastAsia="仿宋_GB2312" w:cs="仿宋_GB2312"/>
          <w:color w:val="auto"/>
          <w:sz w:val="32"/>
          <w:szCs w:val="32"/>
          <w:highlight w:val="none"/>
        </w:rPr>
        <w:t>推动全</w:t>
      </w:r>
      <w:r>
        <w:rPr>
          <w:rFonts w:hint="eastAsia" w:ascii="仿宋_GB2312" w:hAnsi="仿宋_GB2312" w:eastAsia="仿宋_GB2312" w:cs="仿宋_GB2312"/>
          <w:color w:val="auto"/>
          <w:sz w:val="32"/>
          <w:szCs w:val="32"/>
          <w:highlight w:val="none"/>
          <w:lang w:val="en-US" w:eastAsia="zh-CN"/>
        </w:rPr>
        <w:t>区再生资源</w:t>
      </w:r>
      <w:r>
        <w:rPr>
          <w:rFonts w:hint="eastAsia" w:ascii="仿宋_GB2312" w:hAnsi="仿宋_GB2312" w:eastAsia="仿宋_GB2312" w:cs="仿宋_GB2312"/>
          <w:color w:val="auto"/>
          <w:sz w:val="32"/>
          <w:szCs w:val="32"/>
          <w:highlight w:val="none"/>
        </w:rPr>
        <w:t>回收增量与垃圾末端处置减量，</w:t>
      </w:r>
      <w:r>
        <w:rPr>
          <w:rFonts w:hint="eastAsia" w:ascii="仿宋_GB2312" w:hAnsi="仿宋_GB2312" w:eastAsia="仿宋_GB2312" w:cs="仿宋_GB2312"/>
          <w:color w:val="auto"/>
          <w:sz w:val="32"/>
          <w:szCs w:val="32"/>
          <w:highlight w:val="none"/>
          <w:lang w:val="en-US" w:eastAsia="zh-CN"/>
        </w:rPr>
        <w:t>构建</w:t>
      </w:r>
      <w:r>
        <w:rPr>
          <w:rFonts w:hint="eastAsia" w:ascii="仿宋_GB2312" w:hAnsi="仿宋_GB2312" w:eastAsia="仿宋_GB2312" w:cs="仿宋_GB2312"/>
          <w:color w:val="auto"/>
          <w:sz w:val="32"/>
          <w:szCs w:val="32"/>
          <w:highlight w:val="none"/>
        </w:rPr>
        <w:t>体系健全、创新要素集聚、经济效益好的</w:t>
      </w:r>
      <w:r>
        <w:rPr>
          <w:rFonts w:hint="eastAsia" w:ascii="仿宋_GB2312" w:hAnsi="仿宋_GB2312" w:eastAsia="仿宋_GB2312" w:cs="仿宋_GB2312"/>
          <w:color w:val="auto"/>
          <w:sz w:val="32"/>
          <w:szCs w:val="32"/>
          <w:highlight w:val="none"/>
          <w:lang w:val="en-US" w:eastAsia="zh-CN"/>
        </w:rPr>
        <w:t>产业体系，</w:t>
      </w:r>
      <w:r>
        <w:rPr>
          <w:rFonts w:hint="eastAsia" w:ascii="仿宋_GB2312" w:hAnsi="仿宋_GB2312" w:eastAsia="仿宋_GB2312" w:cs="仿宋_GB2312"/>
          <w:color w:val="auto"/>
          <w:sz w:val="32"/>
          <w:szCs w:val="32"/>
          <w:highlight w:val="none"/>
        </w:rPr>
        <w:t>引导行业规范化、集约化、规模化</w:t>
      </w:r>
      <w:r>
        <w:rPr>
          <w:rFonts w:hint="eastAsia" w:ascii="仿宋_GB2312" w:hAnsi="仿宋_GB2312" w:eastAsia="仿宋_GB2312" w:cs="仿宋_GB2312"/>
          <w:color w:val="auto"/>
          <w:sz w:val="32"/>
          <w:szCs w:val="32"/>
          <w:highlight w:val="none"/>
          <w:lang w:val="en-US" w:eastAsia="zh-CN"/>
        </w:rPr>
        <w:t>高质量</w:t>
      </w:r>
      <w:r>
        <w:rPr>
          <w:rFonts w:hint="eastAsia" w:ascii="仿宋_GB2312" w:hAnsi="仿宋_GB2312" w:eastAsia="仿宋_GB2312" w:cs="仿宋_GB2312"/>
          <w:color w:val="auto"/>
          <w:sz w:val="32"/>
          <w:szCs w:val="32"/>
          <w:highlight w:val="none"/>
        </w:rPr>
        <w:t>发展。</w:t>
      </w:r>
      <w:bookmarkStart w:id="194" w:name="_Toc14520"/>
      <w:bookmarkStart w:id="195" w:name="_Toc24088"/>
      <w:bookmarkStart w:id="196" w:name="_Toc12584"/>
      <w:bookmarkStart w:id="197" w:name="_Toc20096"/>
      <w:bookmarkStart w:id="198" w:name="_Toc2887"/>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199" w:name="_Toc30249"/>
      <w:bookmarkStart w:id="200" w:name="_Toc12282"/>
      <w:bookmarkStart w:id="201" w:name="_Toc14731"/>
      <w:bookmarkStart w:id="202" w:name="_Toc6693"/>
      <w:r>
        <w:rPr>
          <w:rFonts w:hint="eastAsia" w:ascii="黑体" w:hAnsi="黑体" w:eastAsia="黑体" w:cs="黑体"/>
          <w:b w:val="0"/>
          <w:bCs w:val="0"/>
          <w:color w:val="auto"/>
          <w:sz w:val="32"/>
          <w:szCs w:val="32"/>
          <w:highlight w:val="none"/>
          <w:lang w:val="en-US" w:eastAsia="zh-CN"/>
        </w:rPr>
        <w:t>二、规划基本原则</w:t>
      </w:r>
      <w:bookmarkEnd w:id="194"/>
      <w:bookmarkEnd w:id="195"/>
      <w:bookmarkEnd w:id="196"/>
      <w:bookmarkEnd w:id="197"/>
      <w:bookmarkEnd w:id="198"/>
      <w:bookmarkEnd w:id="199"/>
      <w:bookmarkEnd w:id="200"/>
      <w:bookmarkEnd w:id="201"/>
      <w:bookmarkEnd w:id="202"/>
    </w:p>
    <w:p>
      <w:pPr>
        <w:numPr>
          <w:ilvl w:val="0"/>
          <w:numId w:val="0"/>
        </w:numPr>
        <w:bidi w:val="0"/>
        <w:spacing w:line="360" w:lineRule="auto"/>
        <w:ind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按照“政府引导、市场运作、多元投入、全民参与”的方式，按照规划目标，因地制宜建设再生资源回收网点。通过引入示范企业和培育标杆企业，鼓励再生资源回收企业参与再生资源投放、分类、运输、处理环节，促进再生资源的回收处理和综合利用，建立健全清城区再生资源回收处理体系。</w:t>
      </w:r>
    </w:p>
    <w:p>
      <w:pPr>
        <w:numPr>
          <w:ilvl w:val="0"/>
          <w:numId w:val="0"/>
        </w:numPr>
        <w:bidi w:val="0"/>
        <w:spacing w:line="360" w:lineRule="auto"/>
        <w:ind w:firstLine="640" w:firstLineChars="200"/>
        <w:jc w:val="both"/>
        <w:rPr>
          <w:rFonts w:hint="default"/>
          <w:b w:val="0"/>
          <w:bCs w:val="0"/>
          <w:color w:val="auto"/>
          <w:highlight w:val="none"/>
          <w:lang w:val="en-US" w:eastAsia="zh-CN"/>
        </w:rPr>
      </w:pP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一</w:t>
      </w: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政府引导，市场运作。</w:t>
      </w:r>
      <w:r>
        <w:rPr>
          <w:rFonts w:hint="eastAsia" w:ascii="仿宋_GB2312" w:hAnsi="仿宋_GB2312" w:eastAsia="仿宋_GB2312" w:cs="仿宋_GB2312"/>
          <w:b w:val="0"/>
          <w:bCs w:val="0"/>
          <w:color w:val="auto"/>
          <w:sz w:val="32"/>
          <w:szCs w:val="32"/>
          <w:highlight w:val="none"/>
          <w:lang w:val="en-US" w:eastAsia="zh-CN"/>
        </w:rPr>
        <w:t>政府通过完善管理机制和制定扶持政策等措施不断优化行业发展环境，鼓励、推动多家再生资源回收处理经营主体建立经营合法、管理规范的再生资源回收网点；引进、培育再生资源回收处理企业参与清城区再生资源回收网点的布局；引导、带动社会资本投入清城区再生资源回收处理体系的建设，充分</w:t>
      </w:r>
      <w:r>
        <w:rPr>
          <w:rFonts w:hint="eastAsia" w:ascii="仿宋_GB2312" w:hAnsi="仿宋_GB2312" w:eastAsia="仿宋_GB2312" w:cs="仿宋_GB2312"/>
          <w:b w:val="0"/>
          <w:bCs w:val="0"/>
          <w:color w:val="auto"/>
          <w:sz w:val="32"/>
          <w:szCs w:val="32"/>
          <w:highlight w:val="none"/>
        </w:rPr>
        <w:t>发挥市场在资源配置中的决定性作用</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构建高效的再生资源回收处理体系，提高再生资源回收率。</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val="0"/>
          <w:bCs w:val="0"/>
          <w:color w:val="auto"/>
          <w:sz w:val="32"/>
          <w:szCs w:val="32"/>
          <w:highlight w:val="none"/>
          <w:lang w:val="en-US" w:eastAsia="zh-CN"/>
        </w:rPr>
        <w:t>（二）依托优势，合理布局。</w:t>
      </w:r>
      <w:r>
        <w:rPr>
          <w:rFonts w:hint="eastAsia" w:ascii="仿宋_GB2312" w:hAnsi="仿宋_GB2312" w:eastAsia="仿宋_GB2312" w:cs="仿宋_GB2312"/>
          <w:color w:val="auto"/>
          <w:sz w:val="32"/>
          <w:szCs w:val="32"/>
          <w:highlight w:val="none"/>
          <w:lang w:val="en-US" w:eastAsia="zh-CN"/>
        </w:rPr>
        <w:t>严格落实《清远市“三线一单”生态环境分区管控方案》要求，充分结合清远市再生资源产业基础优势，按</w:t>
      </w:r>
      <w:r>
        <w:rPr>
          <w:rFonts w:hint="eastAsia" w:ascii="仿宋_GB2312" w:hAnsi="仿宋_GB2312" w:eastAsia="仿宋_GB2312" w:cs="仿宋_GB2312"/>
          <w:color w:val="auto"/>
          <w:sz w:val="32"/>
          <w:szCs w:val="32"/>
          <w:highlight w:val="none"/>
        </w:rPr>
        <w:t>照清城区现有区域需求和特性，以及产业结构和土地</w:t>
      </w:r>
      <w:r>
        <w:rPr>
          <w:rFonts w:hint="eastAsia" w:ascii="仿宋_GB2312" w:hAnsi="仿宋_GB2312" w:eastAsia="仿宋_GB2312" w:cs="仿宋_GB2312"/>
          <w:color w:val="auto"/>
          <w:sz w:val="32"/>
          <w:szCs w:val="32"/>
          <w:highlight w:val="none"/>
          <w:lang w:val="en-US" w:eastAsia="zh-CN"/>
        </w:rPr>
        <w:t>生产要素</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val="en-US" w:eastAsia="zh-CN"/>
        </w:rPr>
        <w:t>现状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优先利用现有产业体系和资源，对社区回收网点、中转站、分拣中心以及综合利用基地（园区）进行合理规划，统一布局，资源优化配置，</w:t>
      </w:r>
      <w:r>
        <w:rPr>
          <w:rFonts w:hint="eastAsia" w:ascii="仿宋_GB2312" w:hAnsi="仿宋_GB2312" w:eastAsia="仿宋_GB2312" w:cs="仿宋_GB2312"/>
          <w:color w:val="auto"/>
          <w:sz w:val="32"/>
          <w:szCs w:val="32"/>
          <w:highlight w:val="none"/>
        </w:rPr>
        <w:t>有利于产业的发展。</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val="0"/>
          <w:bCs w:val="0"/>
          <w:color w:val="auto"/>
          <w:sz w:val="32"/>
          <w:szCs w:val="32"/>
          <w:highlight w:val="none"/>
          <w:lang w:val="en-US" w:eastAsia="zh-CN"/>
        </w:rPr>
        <w:t>（三）突出重点，兼顾全局</w:t>
      </w:r>
      <w:r>
        <w:rPr>
          <w:rFonts w:hint="eastAsia" w:ascii="楷体_GB2312" w:hAnsi="楷体_GB2312" w:eastAsia="楷体_GB2312" w:cs="楷体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将再生资源回收网点纳入城市规划，将再生资源回收体系建设用地纳入土地利用总体规划。</w:t>
      </w:r>
      <w:r>
        <w:rPr>
          <w:rFonts w:hint="eastAsia" w:ascii="仿宋_GB2312" w:hAnsi="仿宋_GB2312" w:eastAsia="仿宋_GB2312" w:cs="仿宋_GB2312"/>
          <w:b w:val="0"/>
          <w:bCs w:val="0"/>
          <w:color w:val="auto"/>
          <w:sz w:val="32"/>
          <w:szCs w:val="32"/>
          <w:highlight w:val="none"/>
        </w:rPr>
        <w:t>促使各类回收网点合理布局。</w:t>
      </w:r>
      <w:r>
        <w:rPr>
          <w:rFonts w:hint="eastAsia" w:ascii="仿宋_GB2312" w:hAnsi="仿宋_GB2312" w:eastAsia="仿宋_GB2312" w:cs="仿宋_GB2312"/>
          <w:color w:val="auto"/>
          <w:sz w:val="32"/>
          <w:szCs w:val="32"/>
          <w:highlight w:val="none"/>
        </w:rPr>
        <w:t>以再生资源回收、</w:t>
      </w:r>
      <w:r>
        <w:rPr>
          <w:rFonts w:hint="eastAsia" w:ascii="仿宋_GB2312" w:hAnsi="仿宋_GB2312" w:eastAsia="仿宋_GB2312" w:cs="仿宋_GB2312"/>
          <w:color w:val="auto"/>
          <w:sz w:val="32"/>
          <w:szCs w:val="32"/>
          <w:highlight w:val="none"/>
          <w:lang w:val="en-US" w:eastAsia="zh-CN"/>
        </w:rPr>
        <w:t>综合利用</w:t>
      </w:r>
      <w:r>
        <w:rPr>
          <w:rFonts w:hint="eastAsia" w:ascii="仿宋_GB2312" w:hAnsi="仿宋_GB2312" w:eastAsia="仿宋_GB2312" w:cs="仿宋_GB2312"/>
          <w:color w:val="auto"/>
          <w:sz w:val="32"/>
          <w:szCs w:val="32"/>
          <w:highlight w:val="none"/>
        </w:rPr>
        <w:t>为重点，着眼再生资源回收</w:t>
      </w:r>
      <w:r>
        <w:rPr>
          <w:rFonts w:hint="eastAsia" w:ascii="仿宋_GB2312" w:hAnsi="仿宋_GB2312" w:eastAsia="仿宋_GB2312" w:cs="仿宋_GB2312"/>
          <w:color w:val="auto"/>
          <w:sz w:val="32"/>
          <w:szCs w:val="32"/>
          <w:highlight w:val="none"/>
          <w:lang w:val="en-US" w:eastAsia="zh-CN"/>
        </w:rPr>
        <w:t>全过程</w:t>
      </w:r>
      <w:r>
        <w:rPr>
          <w:rFonts w:hint="eastAsia" w:ascii="仿宋_GB2312" w:hAnsi="仿宋_GB2312" w:eastAsia="仿宋_GB2312" w:cs="仿宋_GB2312"/>
          <w:color w:val="auto"/>
          <w:sz w:val="32"/>
          <w:szCs w:val="32"/>
          <w:highlight w:val="none"/>
        </w:rPr>
        <w:t>和全产业链管理。探索</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体系与环卫</w:t>
      </w:r>
      <w:r>
        <w:rPr>
          <w:rFonts w:hint="eastAsia" w:ascii="仿宋_GB2312" w:hAnsi="仿宋_GB2312" w:eastAsia="仿宋_GB2312" w:cs="仿宋_GB2312"/>
          <w:color w:val="auto"/>
          <w:sz w:val="32"/>
          <w:szCs w:val="32"/>
          <w:highlight w:val="none"/>
          <w:lang w:val="en-US" w:eastAsia="zh-CN"/>
        </w:rPr>
        <w:t>收运系统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两网融合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逐渐形成高效协同的全过程运行系统，</w:t>
      </w:r>
      <w:r>
        <w:rPr>
          <w:rFonts w:hint="eastAsia" w:ascii="仿宋_GB2312" w:hAnsi="仿宋_GB2312" w:eastAsia="仿宋_GB2312" w:cs="仿宋_GB2312"/>
          <w:color w:val="auto"/>
          <w:sz w:val="32"/>
          <w:szCs w:val="32"/>
          <w:highlight w:val="none"/>
        </w:rPr>
        <w:t>鼓励提高分拣加工技术水平，</w:t>
      </w:r>
      <w:r>
        <w:rPr>
          <w:rFonts w:hint="eastAsia" w:ascii="仿宋_GB2312" w:hAnsi="仿宋_GB2312" w:eastAsia="仿宋_GB2312" w:cs="仿宋_GB2312"/>
          <w:color w:val="auto"/>
          <w:sz w:val="32"/>
          <w:szCs w:val="32"/>
          <w:highlight w:val="none"/>
          <w:lang w:val="en-US" w:eastAsia="zh-CN"/>
        </w:rPr>
        <w:t>实现多技术融合，</w:t>
      </w:r>
      <w:r>
        <w:rPr>
          <w:rFonts w:hint="eastAsia" w:ascii="仿宋_GB2312" w:hAnsi="仿宋_GB2312" w:eastAsia="仿宋_GB2312" w:cs="仿宋_GB2312"/>
          <w:color w:val="auto"/>
          <w:sz w:val="32"/>
          <w:szCs w:val="32"/>
          <w:highlight w:val="none"/>
        </w:rPr>
        <w:t>实现</w:t>
      </w:r>
      <w:r>
        <w:rPr>
          <w:rFonts w:hint="eastAsia" w:ascii="仿宋_GB2312" w:hAnsi="仿宋_GB2312" w:eastAsia="仿宋_GB2312" w:cs="仿宋_GB2312"/>
          <w:color w:val="auto"/>
          <w:sz w:val="32"/>
          <w:szCs w:val="32"/>
          <w:highlight w:val="none"/>
          <w:lang w:val="en-US" w:eastAsia="zh-CN"/>
        </w:rPr>
        <w:t>技术创新重构再生资源体系</w:t>
      </w:r>
      <w:r>
        <w:rPr>
          <w:rFonts w:hint="eastAsia" w:ascii="仿宋_GB2312" w:hAnsi="仿宋_GB2312" w:eastAsia="仿宋_GB2312" w:cs="仿宋_GB2312"/>
          <w:color w:val="auto"/>
          <w:sz w:val="32"/>
          <w:szCs w:val="32"/>
          <w:highlight w:val="none"/>
        </w:rPr>
        <w:t>。</w:t>
      </w:r>
      <w:bookmarkStart w:id="547" w:name="_GoBack"/>
      <w:bookmarkEnd w:id="547"/>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（四）分步实施，平稳过渡</w:t>
      </w:r>
      <w:r>
        <w:rPr>
          <w:rFonts w:hint="eastAsia" w:ascii="楷体_GB2312" w:hAnsi="楷体_GB2312" w:eastAsia="楷体_GB2312" w:cs="楷体_GB2312"/>
          <w:b w:val="0"/>
          <w:bCs w:val="0"/>
          <w:color w:val="auto"/>
          <w:sz w:val="32"/>
          <w:szCs w:val="32"/>
          <w:highlight w:val="none"/>
          <w:lang w:eastAsia="zh-CN"/>
        </w:rPr>
        <w:t>。</w:t>
      </w:r>
      <w:r>
        <w:rPr>
          <w:rFonts w:hint="eastAsia" w:ascii="仿宋_GB2312" w:hAnsi="仿宋_GB2312" w:eastAsia="仿宋_GB2312" w:cs="仿宋_GB2312"/>
          <w:color w:val="auto"/>
          <w:sz w:val="32"/>
          <w:szCs w:val="32"/>
          <w:highlight w:val="none"/>
        </w:rPr>
        <w:t>按照先城区、再乡镇的步骤，统一规划、分期实施，递次推进、全面覆盖。按照先易后难、分步实施工作思路，先整治后提升、以点带面，鼓励技术创新、适时试点推广，逐步平稳有序推进再生资源回收行业</w:t>
      </w:r>
      <w:r>
        <w:rPr>
          <w:rFonts w:hint="eastAsia" w:ascii="仿宋_GB2312" w:hAnsi="仿宋_GB2312" w:eastAsia="仿宋_GB2312" w:cs="仿宋_GB2312"/>
          <w:color w:val="auto"/>
          <w:sz w:val="32"/>
          <w:szCs w:val="32"/>
          <w:highlight w:val="none"/>
          <w:lang w:val="en-US" w:eastAsia="zh-CN"/>
        </w:rPr>
        <w:t>良性发展。</w:t>
      </w:r>
      <w:bookmarkStart w:id="203" w:name="_Toc7943"/>
      <w:bookmarkStart w:id="204" w:name="_Toc24059"/>
      <w:bookmarkStart w:id="205" w:name="_Toc30088"/>
      <w:bookmarkStart w:id="206" w:name="_Toc29856"/>
      <w:bookmarkStart w:id="207" w:name="_Toc19917"/>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仿宋_GB2312" w:hAnsi="仿宋_GB2312" w:eastAsia="仿宋_GB2312" w:cs="仿宋_GB2312"/>
          <w:b/>
          <w:bCs/>
          <w:color w:val="auto"/>
          <w:sz w:val="32"/>
          <w:szCs w:val="32"/>
          <w:highlight w:val="none"/>
        </w:rPr>
      </w:pPr>
      <w:bookmarkStart w:id="208" w:name="_Toc13748"/>
      <w:bookmarkStart w:id="209" w:name="_Toc1800"/>
      <w:bookmarkStart w:id="210" w:name="_Toc9271"/>
      <w:bookmarkStart w:id="211" w:name="_Toc4780"/>
      <w:r>
        <w:rPr>
          <w:rFonts w:hint="eastAsia" w:ascii="黑体" w:hAnsi="黑体" w:eastAsia="黑体" w:cs="黑体"/>
          <w:b w:val="0"/>
          <w:bCs w:val="0"/>
          <w:color w:val="auto"/>
          <w:sz w:val="32"/>
          <w:szCs w:val="32"/>
          <w:highlight w:val="none"/>
          <w:lang w:val="en-US" w:eastAsia="zh-CN"/>
        </w:rPr>
        <w:t>三、规划目标</w:t>
      </w:r>
      <w:bookmarkEnd w:id="203"/>
      <w:bookmarkEnd w:id="204"/>
      <w:bookmarkEnd w:id="205"/>
      <w:bookmarkEnd w:id="206"/>
      <w:bookmarkEnd w:id="207"/>
      <w:bookmarkEnd w:id="208"/>
      <w:bookmarkEnd w:id="209"/>
      <w:bookmarkEnd w:id="210"/>
      <w:bookmarkEnd w:id="211"/>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充分发挥清城区的产业优势，继续加大政府支持力度，</w:t>
      </w:r>
      <w:r>
        <w:rPr>
          <w:rFonts w:hint="eastAsia" w:ascii="仿宋_GB2312" w:hAnsi="仿宋_GB2312" w:eastAsia="仿宋_GB2312" w:cs="仿宋_GB2312"/>
          <w:color w:val="auto"/>
          <w:sz w:val="32"/>
          <w:szCs w:val="32"/>
          <w:highlight w:val="none"/>
          <w:lang w:val="en-US" w:eastAsia="zh-CN"/>
        </w:rPr>
        <w:t>争取</w:t>
      </w:r>
      <w:r>
        <w:rPr>
          <w:rFonts w:hint="eastAsia" w:ascii="仿宋_GB2312" w:hAnsi="仿宋_GB2312" w:eastAsia="仿宋_GB2312" w:cs="仿宋_GB2312"/>
          <w:color w:val="auto"/>
          <w:sz w:val="32"/>
          <w:szCs w:val="32"/>
          <w:highlight w:val="none"/>
        </w:rPr>
        <w:t>到20</w:t>
      </w:r>
      <w:r>
        <w:rPr>
          <w:rFonts w:hint="eastAsia" w:ascii="仿宋_GB2312" w:hAnsi="仿宋_GB2312" w:eastAsia="仿宋_GB2312" w:cs="仿宋_GB2312"/>
          <w:color w:val="auto"/>
          <w:sz w:val="32"/>
          <w:szCs w:val="32"/>
          <w:highlight w:val="none"/>
          <w:lang w:val="en-US" w:eastAsia="zh-CN"/>
        </w:rPr>
        <w:t>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根据人口、产业发展实际情况，</w:t>
      </w:r>
      <w:r>
        <w:rPr>
          <w:rFonts w:hint="eastAsia" w:ascii="仿宋_GB2312" w:hAnsi="仿宋_GB2312" w:eastAsia="仿宋_GB2312" w:cs="仿宋_GB2312"/>
          <w:color w:val="auto"/>
          <w:sz w:val="32"/>
          <w:szCs w:val="32"/>
          <w:highlight w:val="none"/>
        </w:rPr>
        <w:t>布局</w:t>
      </w:r>
      <w:r>
        <w:rPr>
          <w:rFonts w:hint="eastAsia" w:ascii="仿宋_GB2312" w:hAnsi="仿宋_GB2312" w:eastAsia="仿宋_GB2312" w:cs="仿宋_GB2312"/>
          <w:color w:val="auto"/>
          <w:sz w:val="32"/>
          <w:szCs w:val="32"/>
          <w:highlight w:val="none"/>
          <w:lang w:val="en-US" w:eastAsia="zh-CN"/>
        </w:rPr>
        <w:t>建设覆盖“社区</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lang w:val="en-US" w:eastAsia="zh-CN"/>
        </w:rPr>
        <w:t>中转站——分拣中心——综合利用基地（园区）”的</w:t>
      </w:r>
      <w:r>
        <w:rPr>
          <w:rFonts w:hint="eastAsia" w:ascii="仿宋_GB2312" w:hAnsi="仿宋_GB2312" w:eastAsia="仿宋_GB2312" w:cs="仿宋_GB2312"/>
          <w:b w:val="0"/>
          <w:bCs w:val="0"/>
          <w:color w:val="auto"/>
          <w:sz w:val="32"/>
          <w:szCs w:val="32"/>
          <w:highlight w:val="none"/>
          <w:lang w:val="en-US" w:eastAsia="zh-CN"/>
        </w:rPr>
        <w:t>再生资源四级回收网点体系</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按照“政府引导、市场运作、多元投入、全民参与”的方式，支撑清城区构建</w:t>
      </w:r>
      <w:r>
        <w:rPr>
          <w:rFonts w:hint="eastAsia" w:ascii="仿宋_GB2312" w:hAnsi="仿宋_GB2312" w:eastAsia="仿宋_GB2312" w:cs="仿宋_GB2312"/>
          <w:color w:val="auto"/>
          <w:sz w:val="32"/>
          <w:szCs w:val="32"/>
          <w:highlight w:val="none"/>
        </w:rPr>
        <w:t>布局合理、网络健全、设施适用、功能完善、管理科学的再生资源回收</w:t>
      </w:r>
      <w:r>
        <w:rPr>
          <w:rFonts w:hint="eastAsia" w:ascii="仿宋_GB2312" w:hAnsi="仿宋_GB2312" w:eastAsia="仿宋_GB2312" w:cs="仿宋_GB2312"/>
          <w:color w:val="auto"/>
          <w:sz w:val="32"/>
          <w:szCs w:val="32"/>
          <w:highlight w:val="none"/>
          <w:lang w:val="en-US" w:eastAsia="zh-CN"/>
        </w:rPr>
        <w:t>处理</w:t>
      </w:r>
      <w:r>
        <w:rPr>
          <w:rFonts w:hint="eastAsia" w:ascii="仿宋_GB2312" w:hAnsi="仿宋_GB2312" w:eastAsia="仿宋_GB2312" w:cs="仿宋_GB2312"/>
          <w:color w:val="auto"/>
          <w:sz w:val="32"/>
          <w:szCs w:val="32"/>
          <w:highlight w:val="none"/>
        </w:rPr>
        <w:t>体系，逐步实现应收尽收，</w:t>
      </w:r>
      <w:r>
        <w:rPr>
          <w:rFonts w:hint="eastAsia" w:ascii="仿宋_GB2312" w:hAnsi="仿宋_GB2312" w:eastAsia="仿宋_GB2312" w:cs="仿宋_GB2312"/>
          <w:color w:val="auto"/>
          <w:sz w:val="32"/>
          <w:szCs w:val="32"/>
          <w:highlight w:val="none"/>
          <w:lang w:val="en-US" w:eastAsia="zh-CN"/>
        </w:rPr>
        <w:t>有效促进生活垃圾末端处理的减量化和再生资源回收的增量化。</w:t>
      </w:r>
      <w:r>
        <w:rPr>
          <w:rFonts w:hint="eastAsia" w:ascii="仿宋_GB2312" w:hAnsi="仿宋_GB2312" w:eastAsia="仿宋_GB2312" w:cs="仿宋_GB2312"/>
          <w:color w:val="auto"/>
          <w:sz w:val="32"/>
          <w:szCs w:val="32"/>
          <w:highlight w:val="none"/>
        </w:rPr>
        <w:t>进一步提高清城区再生资源产业化水平，为推进</w:t>
      </w:r>
      <w:r>
        <w:rPr>
          <w:rFonts w:hint="eastAsia" w:ascii="仿宋_GB2312" w:hAnsi="仿宋_GB2312" w:eastAsia="仿宋_GB2312" w:cs="仿宋_GB2312"/>
          <w:color w:val="auto"/>
          <w:sz w:val="32"/>
          <w:szCs w:val="32"/>
          <w:highlight w:val="none"/>
          <w:lang w:val="en-US" w:eastAsia="zh-CN"/>
        </w:rPr>
        <w:t>清城区</w:t>
      </w:r>
      <w:r>
        <w:rPr>
          <w:rFonts w:hint="eastAsia" w:ascii="仿宋_GB2312" w:hAnsi="仿宋_GB2312" w:eastAsia="仿宋_GB2312" w:cs="仿宋_GB2312"/>
          <w:color w:val="auto"/>
          <w:sz w:val="32"/>
          <w:szCs w:val="32"/>
          <w:highlight w:val="none"/>
        </w:rPr>
        <w:t>生态文明建设</w:t>
      </w:r>
      <w:r>
        <w:rPr>
          <w:rFonts w:hint="eastAsia" w:ascii="仿宋_GB2312" w:hAnsi="仿宋_GB2312" w:eastAsia="仿宋_GB2312" w:cs="仿宋_GB2312"/>
          <w:color w:val="auto"/>
          <w:sz w:val="32"/>
          <w:szCs w:val="32"/>
          <w:highlight w:val="none"/>
          <w:lang w:eastAsia="zh-CN"/>
        </w:rPr>
        <w:t>作出</w:t>
      </w:r>
      <w:r>
        <w:rPr>
          <w:rFonts w:hint="eastAsia" w:ascii="仿宋_GB2312" w:hAnsi="仿宋_GB2312" w:eastAsia="仿宋_GB2312" w:cs="仿宋_GB2312"/>
          <w:color w:val="auto"/>
          <w:sz w:val="32"/>
          <w:szCs w:val="32"/>
          <w:highlight w:val="none"/>
        </w:rPr>
        <w:t>应有贡献。</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——再生资源回收率显著提高。</w:t>
      </w:r>
      <w:r>
        <w:rPr>
          <w:rFonts w:hint="eastAsia" w:ascii="仿宋_GB2312" w:hAnsi="仿宋_GB2312" w:eastAsia="仿宋_GB2312" w:cs="仿宋_GB2312"/>
          <w:b w:val="0"/>
          <w:bCs w:val="0"/>
          <w:color w:val="auto"/>
          <w:sz w:val="32"/>
          <w:szCs w:val="32"/>
          <w:highlight w:val="none"/>
          <w:lang w:eastAsia="zh-CN"/>
        </w:rPr>
        <w:t>大力推进再生资源回收服务进园区、进社区、进小区。新建园区、社区、小区要预留再生资源</w:t>
      </w:r>
      <w:r>
        <w:rPr>
          <w:rFonts w:hint="eastAsia" w:ascii="仿宋_GB2312" w:hAnsi="仿宋_GB2312" w:eastAsia="仿宋_GB2312" w:cs="仿宋_GB2312"/>
          <w:b w:val="0"/>
          <w:bCs w:val="0"/>
          <w:color w:val="auto"/>
          <w:sz w:val="32"/>
          <w:szCs w:val="32"/>
          <w:highlight w:val="none"/>
          <w:lang w:val="en-US" w:eastAsia="zh-CN"/>
        </w:rPr>
        <w:t>社区</w:t>
      </w:r>
      <w:r>
        <w:rPr>
          <w:rFonts w:hint="eastAsia" w:ascii="仿宋_GB2312" w:hAnsi="仿宋_GB2312" w:eastAsia="仿宋_GB2312" w:cs="仿宋_GB2312"/>
          <w:b w:val="0"/>
          <w:bCs w:val="0"/>
          <w:color w:val="auto"/>
          <w:sz w:val="32"/>
          <w:szCs w:val="32"/>
          <w:highlight w:val="none"/>
          <w:lang w:eastAsia="zh-CN"/>
        </w:rPr>
        <w:t>回收</w:t>
      </w:r>
      <w:r>
        <w:rPr>
          <w:rFonts w:hint="eastAsia" w:ascii="仿宋_GB2312" w:hAnsi="仿宋_GB2312" w:eastAsia="仿宋_GB2312" w:cs="仿宋_GB2312"/>
          <w:b w:val="0"/>
          <w:bCs w:val="0"/>
          <w:color w:val="auto"/>
          <w:sz w:val="32"/>
          <w:szCs w:val="32"/>
          <w:highlight w:val="none"/>
          <w:lang w:val="en-US" w:eastAsia="zh-CN"/>
        </w:rPr>
        <w:t>网点</w:t>
      </w:r>
      <w:r>
        <w:rPr>
          <w:rFonts w:hint="eastAsia" w:ascii="仿宋_GB2312" w:hAnsi="仿宋_GB2312" w:eastAsia="仿宋_GB2312" w:cs="仿宋_GB2312"/>
          <w:b w:val="0"/>
          <w:bCs w:val="0"/>
          <w:color w:val="auto"/>
          <w:sz w:val="32"/>
          <w:szCs w:val="32"/>
          <w:highlight w:val="none"/>
          <w:lang w:eastAsia="zh-CN"/>
        </w:rPr>
        <w:t>位置，明确建设要求；对原有园区、社区、小区要逐步设立再生资源</w:t>
      </w:r>
      <w:r>
        <w:rPr>
          <w:rFonts w:hint="eastAsia" w:ascii="仿宋_GB2312" w:hAnsi="仿宋_GB2312" w:eastAsia="仿宋_GB2312" w:cs="仿宋_GB2312"/>
          <w:b w:val="0"/>
          <w:bCs w:val="0"/>
          <w:color w:val="auto"/>
          <w:sz w:val="32"/>
          <w:szCs w:val="32"/>
          <w:highlight w:val="none"/>
          <w:lang w:val="en-US" w:eastAsia="zh-CN"/>
        </w:rPr>
        <w:t>社区</w:t>
      </w:r>
      <w:r>
        <w:rPr>
          <w:rFonts w:hint="eastAsia" w:ascii="仿宋_GB2312" w:hAnsi="仿宋_GB2312" w:eastAsia="仿宋_GB2312" w:cs="仿宋_GB2312"/>
          <w:b w:val="0"/>
          <w:bCs w:val="0"/>
          <w:color w:val="auto"/>
          <w:sz w:val="32"/>
          <w:szCs w:val="32"/>
          <w:highlight w:val="none"/>
          <w:lang w:eastAsia="zh-CN"/>
        </w:rPr>
        <w:t>回收</w:t>
      </w:r>
      <w:r>
        <w:rPr>
          <w:rFonts w:hint="eastAsia" w:ascii="仿宋_GB2312" w:hAnsi="仿宋_GB2312" w:eastAsia="仿宋_GB2312" w:cs="仿宋_GB2312"/>
          <w:b w:val="0"/>
          <w:bCs w:val="0"/>
          <w:color w:val="auto"/>
          <w:sz w:val="32"/>
          <w:szCs w:val="32"/>
          <w:highlight w:val="none"/>
          <w:lang w:val="en-US" w:eastAsia="zh-CN"/>
        </w:rPr>
        <w:t>网点</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因地制宜</w:t>
      </w:r>
      <w:r>
        <w:rPr>
          <w:rFonts w:hint="eastAsia" w:ascii="仿宋_GB2312" w:hAnsi="仿宋_GB2312" w:eastAsia="仿宋_GB2312" w:cs="仿宋_GB2312"/>
          <w:b w:val="0"/>
          <w:bCs w:val="0"/>
          <w:color w:val="auto"/>
          <w:sz w:val="32"/>
          <w:szCs w:val="32"/>
          <w:highlight w:val="none"/>
          <w:lang w:val="en-US" w:eastAsia="zh-CN"/>
        </w:rPr>
        <w:t>构建清城区再生资源四级回收网点体系，实现清城区全域再生资源回收网点全覆盖，</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利用率达到</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0%以上。</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rPr>
        <w:t>——智慧化再生资源回收处理体系基本建成。</w:t>
      </w:r>
      <w:r>
        <w:rPr>
          <w:rFonts w:hint="eastAsia" w:ascii="仿宋_GB2312" w:hAnsi="仿宋_GB2312" w:eastAsia="仿宋_GB2312" w:cs="仿宋_GB2312"/>
          <w:b w:val="0"/>
          <w:bCs w:val="0"/>
          <w:color w:val="auto"/>
          <w:sz w:val="32"/>
          <w:szCs w:val="32"/>
          <w:highlight w:val="none"/>
          <w:lang w:val="en-US" w:eastAsia="zh-CN"/>
        </w:rPr>
        <w:t>通过引进或培育再生资源回收处理企业，在政府的指导下建设科学、合理的智能回收服务网点，并实现网格化服务。以社会化投入和市场化运作的方式，配备再生资源智能回收箱、再生资源智能物流回收车等设备，完善分拣中心、综合利用基地（园区）等设施，构建“清城区再生资源管理智慧云平台”及展示中心，</w:t>
      </w:r>
      <w:r>
        <w:rPr>
          <w:rFonts w:hint="eastAsia" w:ascii="仿宋_GB2312" w:hAnsi="仿宋_GB2312" w:eastAsia="仿宋_GB2312" w:cs="仿宋_GB2312"/>
          <w:b w:val="0"/>
          <w:bCs w:val="0"/>
          <w:color w:val="auto"/>
          <w:sz w:val="32"/>
          <w:szCs w:val="32"/>
          <w:highlight w:val="none"/>
        </w:rPr>
        <w:t>基本建成再生资源回收处理</w:t>
      </w:r>
      <w:r>
        <w:rPr>
          <w:rFonts w:hint="eastAsia" w:ascii="仿宋_GB2312" w:hAnsi="仿宋_GB2312" w:eastAsia="仿宋_GB2312" w:cs="仿宋_GB2312"/>
          <w:b w:val="0"/>
          <w:bCs w:val="0"/>
          <w:color w:val="auto"/>
          <w:sz w:val="32"/>
          <w:szCs w:val="32"/>
          <w:highlight w:val="none"/>
          <w:lang w:val="en-US" w:eastAsia="zh-CN"/>
        </w:rPr>
        <w:t>绿色</w:t>
      </w:r>
      <w:r>
        <w:rPr>
          <w:rFonts w:hint="eastAsia" w:ascii="仿宋_GB2312" w:hAnsi="仿宋_GB2312" w:eastAsia="仿宋_GB2312" w:cs="仿宋_GB2312"/>
          <w:b w:val="0"/>
          <w:bCs w:val="0"/>
          <w:color w:val="auto"/>
          <w:sz w:val="32"/>
          <w:szCs w:val="32"/>
          <w:highlight w:val="none"/>
        </w:rPr>
        <w:t>智慧</w:t>
      </w:r>
      <w:r>
        <w:rPr>
          <w:rFonts w:hint="eastAsia" w:ascii="仿宋_GB2312" w:hAnsi="仿宋_GB2312" w:eastAsia="仿宋_GB2312" w:cs="仿宋_GB2312"/>
          <w:b w:val="0"/>
          <w:bCs w:val="0"/>
          <w:color w:val="auto"/>
          <w:sz w:val="32"/>
          <w:szCs w:val="32"/>
          <w:highlight w:val="none"/>
          <w:lang w:val="en-US" w:eastAsia="zh-CN"/>
        </w:rPr>
        <w:t>型</w:t>
      </w:r>
      <w:r>
        <w:rPr>
          <w:rFonts w:hint="eastAsia" w:ascii="仿宋_GB2312" w:hAnsi="仿宋_GB2312" w:eastAsia="仿宋_GB2312" w:cs="仿宋_GB2312"/>
          <w:b w:val="0"/>
          <w:bCs w:val="0"/>
          <w:color w:val="auto"/>
          <w:sz w:val="32"/>
          <w:szCs w:val="32"/>
          <w:highlight w:val="none"/>
        </w:rPr>
        <w:t>管理体系</w:t>
      </w:r>
      <w:r>
        <w:rPr>
          <w:rFonts w:hint="eastAsia" w:ascii="仿宋_GB2312" w:hAnsi="仿宋_GB2312" w:eastAsia="仿宋_GB2312" w:cs="仿宋_GB2312"/>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2" w:firstLineChars="200"/>
        <w:jc w:val="both"/>
        <w:textAlignment w:val="auto"/>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b/>
          <w:bCs/>
          <w:color w:val="auto"/>
          <w:sz w:val="32"/>
          <w:szCs w:val="32"/>
          <w:highlight w:val="none"/>
        </w:rPr>
        <w:t>——示范推广成效显著。</w:t>
      </w:r>
      <w:r>
        <w:rPr>
          <w:rFonts w:hint="eastAsia" w:ascii="仿宋_GB2312" w:hAnsi="仿宋_GB2312" w:eastAsia="仿宋_GB2312" w:cs="仿宋_GB2312"/>
          <w:color w:val="auto"/>
          <w:sz w:val="32"/>
          <w:szCs w:val="32"/>
          <w:highlight w:val="none"/>
        </w:rPr>
        <w:t>培育</w:t>
      </w:r>
      <w:r>
        <w:rPr>
          <w:rFonts w:hint="eastAsia" w:ascii="仿宋_GB2312" w:hAnsi="仿宋_GB2312" w:eastAsia="仿宋_GB2312" w:cs="仿宋_GB2312"/>
          <w:color w:val="auto"/>
          <w:sz w:val="32"/>
          <w:szCs w:val="32"/>
          <w:highlight w:val="none"/>
          <w:lang w:val="en-US" w:eastAsia="zh-CN"/>
        </w:rPr>
        <w:t>一批</w:t>
      </w:r>
      <w:r>
        <w:rPr>
          <w:rFonts w:hint="eastAsia" w:ascii="仿宋_GB2312" w:hAnsi="仿宋_GB2312" w:eastAsia="仿宋_GB2312" w:cs="仿宋_GB2312"/>
          <w:color w:val="auto"/>
          <w:sz w:val="32"/>
          <w:szCs w:val="32"/>
          <w:highlight w:val="none"/>
        </w:rPr>
        <w:t>有代表性的再生资源回收</w:t>
      </w:r>
      <w:r>
        <w:rPr>
          <w:rFonts w:hint="eastAsia" w:ascii="仿宋_GB2312" w:hAnsi="仿宋_GB2312" w:eastAsia="仿宋_GB2312" w:cs="仿宋_GB2312"/>
          <w:color w:val="auto"/>
          <w:sz w:val="32"/>
          <w:szCs w:val="32"/>
          <w:highlight w:val="none"/>
          <w:lang w:val="en-US" w:eastAsia="zh-CN"/>
        </w:rPr>
        <w:t>处理龙头企业、标杆企业</w:t>
      </w:r>
      <w:r>
        <w:rPr>
          <w:rFonts w:hint="eastAsia" w:ascii="仿宋_GB2312" w:hAnsi="仿宋_GB2312" w:eastAsia="仿宋_GB2312" w:cs="仿宋_GB2312"/>
          <w:color w:val="auto"/>
          <w:sz w:val="32"/>
          <w:szCs w:val="32"/>
          <w:highlight w:val="none"/>
        </w:rPr>
        <w:t>，形成一批</w:t>
      </w:r>
      <w:r>
        <w:rPr>
          <w:rFonts w:hint="eastAsia" w:ascii="仿宋_GB2312" w:hAnsi="仿宋_GB2312" w:eastAsia="仿宋_GB2312" w:cs="仿宋_GB2312"/>
          <w:color w:val="auto"/>
          <w:sz w:val="32"/>
          <w:szCs w:val="32"/>
          <w:highlight w:val="none"/>
          <w:lang w:val="en-US" w:eastAsia="zh-CN"/>
        </w:rPr>
        <w:t>再生资源回收利用</w:t>
      </w:r>
      <w:r>
        <w:rPr>
          <w:rFonts w:hint="eastAsia" w:ascii="仿宋_GB2312" w:hAnsi="仿宋_GB2312" w:eastAsia="仿宋_GB2312" w:cs="仿宋_GB2312"/>
          <w:color w:val="auto"/>
          <w:sz w:val="32"/>
          <w:szCs w:val="32"/>
          <w:highlight w:val="none"/>
        </w:rPr>
        <w:t>技术创新等典型案例和优秀经验做法。</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212" w:name="_Toc11636"/>
      <w:bookmarkStart w:id="213" w:name="_Toc12011"/>
      <w:bookmarkStart w:id="214" w:name="_Toc27595"/>
      <w:bookmarkStart w:id="215" w:name="_Toc30830"/>
      <w:bookmarkStart w:id="216" w:name="_Toc5544"/>
      <w:bookmarkStart w:id="217" w:name="_Toc29431"/>
      <w:bookmarkStart w:id="218" w:name="_Toc11800"/>
      <w:bookmarkStart w:id="219" w:name="_Toc12658"/>
      <w:bookmarkStart w:id="220" w:name="_Toc4390"/>
      <w:r>
        <w:rPr>
          <w:rFonts w:hint="eastAsia" w:ascii="黑体" w:hAnsi="黑体" w:eastAsia="黑体" w:cs="黑体"/>
          <w:b w:val="0"/>
          <w:bCs w:val="0"/>
          <w:color w:val="auto"/>
          <w:sz w:val="32"/>
          <w:szCs w:val="32"/>
          <w:highlight w:val="none"/>
          <w:lang w:val="en-US" w:eastAsia="zh-CN"/>
        </w:rPr>
        <w:t>四、建设思路</w:t>
      </w:r>
      <w:bookmarkEnd w:id="212"/>
      <w:bookmarkEnd w:id="213"/>
      <w:bookmarkEnd w:id="214"/>
      <w:bookmarkEnd w:id="215"/>
      <w:bookmarkEnd w:id="216"/>
      <w:bookmarkEnd w:id="217"/>
      <w:bookmarkEnd w:id="218"/>
      <w:bookmarkEnd w:id="219"/>
      <w:bookmarkEnd w:id="220"/>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清城区委区政府的</w:t>
      </w:r>
      <w:r>
        <w:rPr>
          <w:rFonts w:hint="eastAsia" w:ascii="仿宋_GB2312" w:hAnsi="仿宋_GB2312" w:eastAsia="仿宋_GB2312" w:cs="仿宋_GB2312"/>
          <w:color w:val="auto"/>
          <w:sz w:val="32"/>
          <w:szCs w:val="32"/>
          <w:highlight w:val="none"/>
        </w:rPr>
        <w:t>统筹</w:t>
      </w:r>
      <w:r>
        <w:rPr>
          <w:rFonts w:hint="eastAsia" w:ascii="仿宋_GB2312" w:hAnsi="仿宋_GB2312" w:eastAsia="仿宋_GB2312" w:cs="仿宋_GB2312"/>
          <w:color w:val="auto"/>
          <w:sz w:val="32"/>
          <w:szCs w:val="32"/>
          <w:highlight w:val="none"/>
          <w:lang w:val="en-US" w:eastAsia="zh-CN"/>
        </w:rPr>
        <w:t>部署下，</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z w:val="32"/>
          <w:szCs w:val="32"/>
          <w:highlight w:val="none"/>
          <w:lang w:val="en-US" w:eastAsia="zh-CN"/>
        </w:rPr>
        <w:t>构建有市场竞争力的产业体系为目标，统筹城乡、</w:t>
      </w:r>
      <w:r>
        <w:rPr>
          <w:rFonts w:hint="eastAsia" w:ascii="仿宋_GB2312" w:hAnsi="仿宋_GB2312" w:eastAsia="仿宋_GB2312" w:cs="仿宋_GB2312"/>
          <w:color w:val="auto"/>
          <w:sz w:val="32"/>
          <w:szCs w:val="32"/>
          <w:highlight w:val="none"/>
        </w:rPr>
        <w:t>因地制宜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统一规划、合理布局、规范建设</w:t>
      </w:r>
      <w:r>
        <w:rPr>
          <w:rFonts w:hint="eastAsia" w:ascii="仿宋_GB2312" w:hAnsi="仿宋_GB2312" w:eastAsia="仿宋_GB2312" w:cs="仿宋_GB2312"/>
          <w:color w:val="auto"/>
          <w:sz w:val="32"/>
          <w:szCs w:val="32"/>
          <w:highlight w:val="none"/>
          <w:lang w:val="en-US" w:eastAsia="zh-CN"/>
        </w:rPr>
        <w:t>清城区再生资源四级回收网点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有序</w:t>
      </w:r>
      <w:r>
        <w:rPr>
          <w:rFonts w:hint="eastAsia" w:ascii="仿宋_GB2312" w:hAnsi="仿宋_GB2312" w:eastAsia="仿宋_GB2312" w:cs="仿宋_GB2312"/>
          <w:color w:val="auto"/>
          <w:sz w:val="32"/>
          <w:szCs w:val="32"/>
          <w:highlight w:val="none"/>
        </w:rPr>
        <w:t>开展</w:t>
      </w:r>
      <w:r>
        <w:rPr>
          <w:rFonts w:hint="eastAsia" w:ascii="仿宋_GB2312" w:hAnsi="仿宋_GB2312" w:eastAsia="仿宋_GB2312" w:cs="仿宋_GB2312"/>
          <w:color w:val="auto"/>
          <w:sz w:val="32"/>
          <w:szCs w:val="32"/>
          <w:highlight w:val="none"/>
          <w:lang w:val="en-US" w:eastAsia="zh-CN"/>
        </w:rPr>
        <w:t>清城区再生资源</w:t>
      </w:r>
      <w:r>
        <w:rPr>
          <w:rFonts w:hint="eastAsia" w:ascii="仿宋_GB2312" w:hAnsi="仿宋_GB2312" w:eastAsia="仿宋_GB2312" w:cs="仿宋_GB2312"/>
          <w:color w:val="auto"/>
          <w:sz w:val="32"/>
          <w:szCs w:val="32"/>
          <w:highlight w:val="none"/>
        </w:rPr>
        <w:t>回收处理体系建设，深入推进</w:t>
      </w:r>
      <w:r>
        <w:rPr>
          <w:rFonts w:hint="eastAsia" w:ascii="仿宋_GB2312" w:hAnsi="仿宋_GB2312" w:eastAsia="仿宋_GB2312" w:cs="仿宋_GB2312"/>
          <w:color w:val="auto"/>
          <w:sz w:val="32"/>
          <w:szCs w:val="32"/>
          <w:highlight w:val="none"/>
          <w:lang w:val="en-US" w:eastAsia="zh-CN"/>
        </w:rPr>
        <w:t>清城区城市</w:t>
      </w:r>
      <w:r>
        <w:rPr>
          <w:rFonts w:hint="eastAsia" w:ascii="仿宋_GB2312" w:hAnsi="仿宋_GB2312" w:eastAsia="仿宋_GB2312" w:cs="仿宋_GB2312"/>
          <w:color w:val="auto"/>
          <w:sz w:val="32"/>
          <w:szCs w:val="32"/>
          <w:highlight w:val="none"/>
        </w:rPr>
        <w:t>生活垃圾分类收运体系和</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收运体系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两网</w:t>
      </w:r>
      <w:r>
        <w:rPr>
          <w:rFonts w:hint="eastAsia" w:ascii="仿宋_GB2312" w:hAnsi="仿宋_GB2312" w:eastAsia="仿宋_GB2312" w:cs="仿宋_GB2312"/>
          <w:color w:val="auto"/>
          <w:sz w:val="32"/>
          <w:szCs w:val="32"/>
          <w:highlight w:val="none"/>
        </w:rPr>
        <w:t>融合</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仿宋" w:hAnsi="仿宋" w:eastAsia="仿宋" w:cs="仿宋"/>
          <w:b/>
          <w:bCs/>
          <w:color w:val="auto"/>
          <w:sz w:val="30"/>
          <w:szCs w:val="30"/>
          <w:highlight w:val="none"/>
          <w:lang w:val="en-US" w:eastAsia="zh-CN"/>
        </w:rPr>
      </w:pPr>
      <w:r>
        <w:rPr>
          <w:rFonts w:hint="eastAsia" w:ascii="仿宋" w:hAnsi="仿宋" w:eastAsia="仿宋" w:cs="仿宋"/>
          <w:b/>
          <w:bCs/>
          <w:color w:val="auto"/>
          <w:sz w:val="30"/>
          <w:szCs w:val="30"/>
          <w:highlight w:val="none"/>
          <w:lang w:val="en-US" w:eastAsia="zh-CN"/>
        </w:rPr>
        <w:t>图1 清城区再生资源回收网点规划设计图</w:t>
      </w:r>
    </w:p>
    <w:p>
      <w:pPr>
        <w:bidi w:val="0"/>
        <w:jc w:val="both"/>
        <w:rPr>
          <w:rFonts w:hint="eastAsia"/>
          <w:color w:val="auto"/>
          <w:highlight w:val="none"/>
        </w:rPr>
      </w:pPr>
      <w:bookmarkStart w:id="221" w:name="_Toc17795"/>
      <w:bookmarkStart w:id="222" w:name="_Toc26435"/>
      <w:bookmarkStart w:id="223" w:name="_Toc12169"/>
      <w:bookmarkStart w:id="224" w:name="_Toc17493"/>
      <w:bookmarkStart w:id="225" w:name="_Toc31631"/>
      <w:bookmarkStart w:id="226" w:name="_Toc5888"/>
      <w:bookmarkStart w:id="227" w:name="_Toc25201"/>
      <w:bookmarkStart w:id="228" w:name="_Toc15123"/>
      <w:bookmarkStart w:id="229" w:name="_Toc29630"/>
      <w:r>
        <w:rPr>
          <w:rFonts w:hint="eastAsia"/>
          <w:color w:val="auto"/>
          <w:highlight w:val="none"/>
        </w:rPr>
        <w:drawing>
          <wp:inline distT="0" distB="0" distL="114300" distR="114300">
            <wp:extent cx="5245100" cy="2709545"/>
            <wp:effectExtent l="0" t="0" r="12700" b="14605"/>
            <wp:docPr id="3" name="图片 32" descr="163083669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2" descr="1630836693"/>
                    <pic:cNvPicPr>
                      <a:picLocks noChangeAspect="true"/>
                    </pic:cNvPicPr>
                  </pic:nvPicPr>
                  <pic:blipFill>
                    <a:blip r:embed="rId7"/>
                    <a:srcRect l="8469" t="23358" r="7370" b="11435"/>
                    <a:stretch>
                      <a:fillRect/>
                    </a:stretch>
                  </pic:blipFill>
                  <pic:spPr>
                    <a:xfrm>
                      <a:off x="0" y="0"/>
                      <a:ext cx="5245100" cy="2709545"/>
                    </a:xfrm>
                    <a:prstGeom prst="rect">
                      <a:avLst/>
                    </a:prstGeom>
                    <a:noFill/>
                    <a:ln>
                      <a:noFill/>
                    </a:ln>
                  </pic:spPr>
                </pic:pic>
              </a:graphicData>
            </a:graphic>
          </wp:inline>
        </w:drawing>
      </w:r>
      <w:bookmarkEnd w:id="221"/>
      <w:bookmarkEnd w:id="222"/>
      <w:bookmarkEnd w:id="223"/>
      <w:bookmarkEnd w:id="224"/>
    </w:p>
    <w:p>
      <w:pPr>
        <w:keepNext w:val="0"/>
        <w:keepLines w:val="0"/>
        <w:pageBreakBefore w:val="0"/>
        <w:widowControl w:val="0"/>
        <w:kinsoku/>
        <w:wordWrap/>
        <w:overflowPunct/>
        <w:topLinePunct w:val="0"/>
        <w:autoSpaceDE/>
        <w:autoSpaceDN/>
        <w:bidi w:val="0"/>
        <w:adjustRightInd/>
        <w:snapToGrid/>
        <w:spacing w:before="313" w:beforeLines="100"/>
        <w:jc w:val="both"/>
        <w:textAlignment w:val="auto"/>
        <w:rPr>
          <w:rFonts w:hint="eastAsia" w:ascii="仿宋" w:hAnsi="仿宋" w:eastAsia="仿宋" w:cs="仿宋"/>
          <w:b/>
          <w:bCs/>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color w:val="auto"/>
          <w:highlight w:val="none"/>
        </w:rPr>
      </w:pPr>
      <w:r>
        <w:rPr>
          <w:rFonts w:hint="eastAsia" w:ascii="仿宋" w:hAnsi="仿宋" w:eastAsia="仿宋" w:cs="仿宋"/>
          <w:b/>
          <w:bCs/>
          <w:color w:val="auto"/>
          <w:sz w:val="30"/>
          <w:szCs w:val="30"/>
          <w:highlight w:val="none"/>
          <w:lang w:val="en-US" w:eastAsia="zh-CN"/>
        </w:rPr>
        <w:t>图2 清城区再生资源回收网点规划设计方向</w:t>
      </w:r>
      <w:r>
        <w:rPr>
          <w:rFonts w:hint="eastAsia" w:eastAsia="宋体"/>
          <w:color w:val="auto"/>
          <w:highlight w:val="none"/>
          <w:lang w:eastAsia="zh-CN"/>
        </w:rPr>
        <w:drawing>
          <wp:inline distT="0" distB="0" distL="114300" distR="114300">
            <wp:extent cx="5272405" cy="1399540"/>
            <wp:effectExtent l="0" t="0" r="4445" b="10160"/>
            <wp:docPr id="4" name="图片 6" descr="163100800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6" descr="1631008002(1)"/>
                    <pic:cNvPicPr>
                      <a:picLocks noChangeAspect="true"/>
                    </pic:cNvPicPr>
                  </pic:nvPicPr>
                  <pic:blipFill>
                    <a:blip r:embed="rId8"/>
                    <a:stretch>
                      <a:fillRect/>
                    </a:stretch>
                  </pic:blipFill>
                  <pic:spPr>
                    <a:xfrm>
                      <a:off x="0" y="0"/>
                      <a:ext cx="5272405" cy="1399540"/>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黑体" w:hAnsi="黑体" w:eastAsia="黑体" w:cs="黑体"/>
          <w:color w:val="auto"/>
          <w:sz w:val="30"/>
          <w:szCs w:val="30"/>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仿宋_GB2312" w:hAnsi="仿宋_GB2312" w:eastAsia="仿宋_GB2312" w:cs="仿宋_GB2312"/>
          <w:b/>
          <w:bCs/>
          <w:color w:val="auto"/>
          <w:sz w:val="32"/>
          <w:szCs w:val="32"/>
          <w:highlight w:val="none"/>
        </w:rPr>
      </w:pPr>
      <w:bookmarkStart w:id="230" w:name="_Toc2767"/>
      <w:bookmarkStart w:id="231" w:name="_Toc31227"/>
      <w:bookmarkStart w:id="232" w:name="_Toc2483"/>
      <w:bookmarkStart w:id="233" w:name="_Toc27662"/>
      <w:r>
        <w:rPr>
          <w:rFonts w:hint="eastAsia" w:ascii="黑体" w:hAnsi="黑体" w:eastAsia="黑体" w:cs="黑体"/>
          <w:color w:val="auto"/>
          <w:sz w:val="32"/>
          <w:szCs w:val="32"/>
          <w:highlight w:val="none"/>
        </w:rPr>
        <w:t>第三章  再生资</w:t>
      </w:r>
      <w:r>
        <w:rPr>
          <w:rFonts w:hint="eastAsia" w:ascii="黑体" w:hAnsi="黑体" w:eastAsia="黑体" w:cs="黑体"/>
          <w:b w:val="0"/>
          <w:bCs w:val="0"/>
          <w:color w:val="auto"/>
          <w:sz w:val="32"/>
          <w:szCs w:val="32"/>
          <w:highlight w:val="none"/>
          <w:lang w:val="en-US" w:eastAsia="zh-CN"/>
        </w:rPr>
        <w:t>源回收网络</w:t>
      </w:r>
      <w:r>
        <w:rPr>
          <w:rFonts w:hint="eastAsia" w:ascii="黑体" w:hAnsi="黑体" w:eastAsia="黑体" w:cs="黑体"/>
          <w:color w:val="auto"/>
          <w:sz w:val="32"/>
          <w:szCs w:val="32"/>
          <w:highlight w:val="none"/>
        </w:rPr>
        <w:t>规划</w:t>
      </w:r>
      <w:bookmarkEnd w:id="225"/>
      <w:bookmarkEnd w:id="226"/>
      <w:bookmarkEnd w:id="227"/>
      <w:bookmarkEnd w:id="228"/>
      <w:bookmarkEnd w:id="229"/>
      <w:bookmarkEnd w:id="230"/>
      <w:bookmarkEnd w:id="231"/>
      <w:bookmarkEnd w:id="232"/>
      <w:bookmarkEnd w:id="233"/>
      <w:bookmarkStart w:id="234" w:name="_Toc14751"/>
      <w:bookmarkStart w:id="235" w:name="_Toc19118"/>
      <w:bookmarkStart w:id="236" w:name="_Toc32048"/>
      <w:bookmarkStart w:id="237" w:name="_Toc25134"/>
      <w:bookmarkStart w:id="238" w:name="_Toc9511"/>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239" w:name="_Toc24445"/>
      <w:bookmarkStart w:id="240" w:name="_Toc15552"/>
      <w:bookmarkStart w:id="241" w:name="_Toc12682"/>
      <w:bookmarkStart w:id="242" w:name="_Toc32625"/>
      <w:r>
        <w:rPr>
          <w:rFonts w:hint="eastAsia" w:ascii="黑体" w:hAnsi="黑体" w:eastAsia="黑体" w:cs="黑体"/>
          <w:b w:val="0"/>
          <w:bCs w:val="0"/>
          <w:color w:val="auto"/>
          <w:sz w:val="32"/>
          <w:szCs w:val="32"/>
          <w:highlight w:val="none"/>
          <w:lang w:val="en-US" w:eastAsia="zh-CN"/>
        </w:rPr>
        <w:t>一、清城区再生资源回收网络设计</w:t>
      </w:r>
      <w:bookmarkEnd w:id="234"/>
      <w:bookmarkEnd w:id="235"/>
      <w:bookmarkEnd w:id="236"/>
      <w:bookmarkEnd w:id="237"/>
      <w:bookmarkEnd w:id="238"/>
      <w:bookmarkEnd w:id="239"/>
      <w:bookmarkEnd w:id="240"/>
      <w:bookmarkEnd w:id="241"/>
      <w:bookmarkEnd w:id="242"/>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43" w:name="_Toc13824"/>
      <w:bookmarkStart w:id="244" w:name="_Toc18478"/>
      <w:bookmarkStart w:id="245" w:name="_Toc27255"/>
      <w:bookmarkStart w:id="246" w:name="_Toc20367"/>
      <w:bookmarkStart w:id="247" w:name="_Toc23307"/>
      <w:bookmarkStart w:id="248" w:name="_Toc4827"/>
      <w:bookmarkStart w:id="249" w:name="_Toc13638"/>
      <w:bookmarkStart w:id="250" w:name="_Toc7446"/>
      <w:bookmarkStart w:id="251" w:name="_Toc29678"/>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一</w:t>
      </w:r>
      <w:r>
        <w:rPr>
          <w:rFonts w:hint="eastAsia" w:ascii="楷体_GB2312" w:hAnsi="楷体_GB2312" w:eastAsia="楷体_GB2312" w:cs="楷体_GB2312"/>
          <w:b w:val="0"/>
          <w:bCs w:val="0"/>
          <w:color w:val="auto"/>
          <w:sz w:val="32"/>
          <w:szCs w:val="32"/>
          <w:highlight w:val="none"/>
          <w:lang w:eastAsia="zh-CN"/>
        </w:rPr>
        <w:t>）生活性再生资源回收网络</w:t>
      </w:r>
      <w:bookmarkEnd w:id="243"/>
      <w:bookmarkEnd w:id="244"/>
      <w:bookmarkEnd w:id="245"/>
      <w:bookmarkEnd w:id="246"/>
      <w:bookmarkEnd w:id="247"/>
      <w:bookmarkEnd w:id="248"/>
      <w:bookmarkEnd w:id="249"/>
      <w:bookmarkEnd w:id="250"/>
      <w:bookmarkEnd w:id="251"/>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b/>
          <w:bCs/>
          <w:color w:val="auto"/>
          <w:sz w:val="30"/>
          <w:szCs w:val="30"/>
          <w:highlight w:val="yellow"/>
          <w:lang w:val="en-US" w:eastAsia="zh-CN"/>
        </w:rPr>
      </w:pPr>
      <w:r>
        <w:rPr>
          <w:rFonts w:hint="eastAsia" w:ascii="仿宋_GB2312" w:hAnsi="仿宋_GB2312" w:eastAsia="仿宋_GB2312" w:cs="仿宋_GB2312"/>
          <w:color w:val="auto"/>
          <w:sz w:val="32"/>
          <w:szCs w:val="32"/>
          <w:highlight w:val="none"/>
        </w:rPr>
        <w:t>借助垃圾分类相关设施，建立分类收运网络：</w:t>
      </w:r>
      <w:r>
        <w:rPr>
          <w:rFonts w:hint="eastAsia" w:ascii="仿宋_GB2312" w:hAnsi="仿宋_GB2312" w:eastAsia="仿宋_GB2312" w:cs="仿宋_GB2312"/>
          <w:color w:val="auto"/>
          <w:sz w:val="32"/>
          <w:szCs w:val="32"/>
          <w:highlight w:val="none"/>
          <w:lang w:val="en-US" w:eastAsia="zh-CN"/>
        </w:rPr>
        <w:t>一是针对人口密度较高、中青年人群占比大的企事业单位、大型商业综合体集中地铺设方便快捷的</w:t>
      </w:r>
      <w:r>
        <w:rPr>
          <w:rFonts w:hint="eastAsia" w:ascii="仿宋_GB2312" w:hAnsi="仿宋_GB2312" w:eastAsia="仿宋_GB2312" w:cs="仿宋_GB2312"/>
          <w:color w:val="auto"/>
          <w:sz w:val="32"/>
          <w:szCs w:val="32"/>
          <w:highlight w:val="none"/>
          <w:lang w:val="en-US"/>
        </w:rPr>
        <w:t>再生资源智能化全品类回收箱</w:t>
      </w:r>
      <w:r>
        <w:rPr>
          <w:rFonts w:hint="eastAsia" w:ascii="仿宋_GB2312" w:hAnsi="仿宋_GB2312" w:eastAsia="仿宋_GB2312" w:cs="仿宋_GB2312"/>
          <w:color w:val="auto"/>
          <w:sz w:val="32"/>
          <w:szCs w:val="32"/>
          <w:highlight w:val="none"/>
          <w:lang w:val="en-US" w:eastAsia="zh-CN"/>
        </w:rPr>
        <w:t>；针对人口密度较低、老年人和保洁人员群体较大的</w:t>
      </w:r>
      <w:r>
        <w:rPr>
          <w:rFonts w:hint="eastAsia" w:ascii="仿宋_GB2312" w:hAnsi="仿宋_GB2312" w:eastAsia="仿宋_GB2312" w:cs="仿宋_GB2312"/>
          <w:color w:val="auto"/>
          <w:sz w:val="32"/>
          <w:szCs w:val="32"/>
          <w:highlight w:val="none"/>
        </w:rPr>
        <w:t>居民区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设置规范化的</w:t>
      </w:r>
      <w:r>
        <w:rPr>
          <w:rFonts w:hint="eastAsia" w:ascii="仿宋_GB2312" w:hAnsi="仿宋_GB2312" w:eastAsia="仿宋_GB2312" w:cs="仿宋_GB2312"/>
          <w:color w:val="auto"/>
          <w:sz w:val="32"/>
          <w:szCs w:val="32"/>
          <w:highlight w:val="none"/>
          <w:lang w:val="en-US" w:eastAsia="zh-CN"/>
        </w:rPr>
        <w:t>人工回收服务和智能化回收服务复合网点；针对地大偏远，老年和低龄幼龄人员占比大，人员文化水平较低的自然村，采用人工回收服务网点，可配套人工回收小型工具车。以上三类方案根据实际情况，可以制定定时定点排班收运、应急预约收运、大件再生资源直接收运的多种方案满足需求</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满足不同层次人群</w:t>
      </w:r>
      <w:r>
        <w:rPr>
          <w:rFonts w:hint="eastAsia" w:ascii="仿宋_GB2312" w:hAnsi="仿宋_GB2312" w:eastAsia="仿宋_GB2312" w:cs="仿宋_GB2312"/>
          <w:color w:val="auto"/>
          <w:sz w:val="32"/>
          <w:szCs w:val="32"/>
          <w:highlight w:val="none"/>
        </w:rPr>
        <w:t>交投</w:t>
      </w:r>
      <w:r>
        <w:rPr>
          <w:rFonts w:hint="eastAsia" w:ascii="仿宋_GB2312" w:hAnsi="仿宋_GB2312" w:eastAsia="仿宋_GB2312" w:cs="仿宋_GB2312"/>
          <w:color w:val="auto"/>
          <w:sz w:val="32"/>
          <w:szCs w:val="32"/>
          <w:highlight w:val="none"/>
          <w:lang w:val="en-US" w:eastAsia="zh-CN"/>
        </w:rPr>
        <w:t>需求</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二是按区域经济和人口发展需求，必要时依托</w:t>
      </w:r>
      <w:r>
        <w:rPr>
          <w:rFonts w:hint="eastAsia" w:ascii="仿宋_GB2312" w:hAnsi="仿宋_GB2312" w:eastAsia="仿宋_GB2312" w:cs="仿宋_GB2312"/>
          <w:color w:val="auto"/>
          <w:sz w:val="32"/>
          <w:szCs w:val="32"/>
          <w:highlight w:val="none"/>
        </w:rPr>
        <w:t>生活垃圾分类收运体系设置中转站，对</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进行回收、</w:t>
      </w:r>
      <w:r>
        <w:rPr>
          <w:rFonts w:hint="eastAsia" w:ascii="仿宋_GB2312" w:hAnsi="仿宋_GB2312" w:eastAsia="仿宋_GB2312" w:cs="仿宋_GB2312"/>
          <w:color w:val="auto"/>
          <w:sz w:val="32"/>
          <w:szCs w:val="32"/>
          <w:highlight w:val="none"/>
          <w:lang w:val="en-US" w:eastAsia="zh-CN"/>
        </w:rPr>
        <w:t>初</w:t>
      </w:r>
      <w:r>
        <w:rPr>
          <w:rFonts w:hint="eastAsia" w:ascii="仿宋_GB2312" w:hAnsi="仿宋_GB2312" w:eastAsia="仿宋_GB2312" w:cs="仿宋_GB2312"/>
          <w:color w:val="auto"/>
          <w:sz w:val="32"/>
          <w:szCs w:val="32"/>
          <w:highlight w:val="none"/>
        </w:rPr>
        <w:t>分类、储运和中转</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三是按区域管理面积，因地制宜</w:t>
      </w:r>
      <w:r>
        <w:rPr>
          <w:rFonts w:hint="eastAsia" w:ascii="仿宋_GB2312" w:hAnsi="仿宋_GB2312" w:eastAsia="仿宋_GB2312" w:cs="仿宋_GB2312"/>
          <w:color w:val="auto"/>
          <w:sz w:val="32"/>
          <w:szCs w:val="32"/>
          <w:highlight w:val="none"/>
        </w:rPr>
        <w:t>建立分拣中心，</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现代化分拣技术、工艺和装备，规范管理，与加工利用</w:t>
      </w:r>
      <w:r>
        <w:rPr>
          <w:rFonts w:hint="eastAsia" w:ascii="仿宋_GB2312" w:hAnsi="仿宋_GB2312" w:eastAsia="仿宋_GB2312" w:cs="仿宋_GB2312"/>
          <w:color w:val="auto"/>
          <w:sz w:val="32"/>
          <w:szCs w:val="32"/>
          <w:highlight w:val="none"/>
          <w:lang w:val="en-US" w:eastAsia="zh-CN"/>
        </w:rPr>
        <w:t>企业</w:t>
      </w:r>
      <w:r>
        <w:rPr>
          <w:rFonts w:hint="eastAsia" w:ascii="仿宋_GB2312" w:hAnsi="仿宋_GB2312" w:eastAsia="仿宋_GB2312" w:cs="仿宋_GB2312"/>
          <w:color w:val="auto"/>
          <w:sz w:val="32"/>
          <w:szCs w:val="32"/>
          <w:highlight w:val="none"/>
        </w:rPr>
        <w:t>有效对接；</w:t>
      </w:r>
      <w:r>
        <w:rPr>
          <w:rFonts w:hint="eastAsia" w:ascii="仿宋_GB2312" w:hAnsi="仿宋_GB2312" w:eastAsia="仿宋_GB2312" w:cs="仿宋_GB2312"/>
          <w:color w:val="auto"/>
          <w:sz w:val="32"/>
          <w:szCs w:val="32"/>
          <w:highlight w:val="none"/>
          <w:lang w:val="en-US" w:eastAsia="zh-CN"/>
        </w:rPr>
        <w:t>四是</w:t>
      </w:r>
      <w:r>
        <w:rPr>
          <w:rFonts w:hint="eastAsia" w:ascii="仿宋_GB2312" w:hAnsi="仿宋_GB2312" w:eastAsia="仿宋_GB2312" w:cs="仿宋_GB2312"/>
          <w:color w:val="auto"/>
          <w:sz w:val="32"/>
          <w:szCs w:val="32"/>
          <w:highlight w:val="none"/>
        </w:rPr>
        <w:t>建设</w:t>
      </w:r>
      <w:r>
        <w:rPr>
          <w:rFonts w:hint="eastAsia" w:ascii="仿宋_GB2312" w:hAnsi="仿宋_GB2312" w:eastAsia="仿宋_GB2312" w:cs="仿宋_GB2312"/>
          <w:color w:val="auto"/>
          <w:sz w:val="32"/>
          <w:szCs w:val="32"/>
          <w:highlight w:val="none"/>
          <w:lang w:eastAsia="zh-CN"/>
        </w:rPr>
        <w:t>再生资源综合利用基地（</w:t>
      </w:r>
      <w:r>
        <w:rPr>
          <w:rFonts w:hint="eastAsia" w:ascii="仿宋_GB2312" w:hAnsi="仿宋_GB2312" w:eastAsia="仿宋_GB2312" w:cs="仿宋_GB2312"/>
          <w:color w:val="auto"/>
          <w:sz w:val="32"/>
          <w:szCs w:val="32"/>
          <w:highlight w:val="none"/>
          <w:lang w:val="en-US" w:eastAsia="zh-CN"/>
        </w:rPr>
        <w:t>园区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搭建“</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val="en-US" w:eastAsia="zh-CN"/>
        </w:rPr>
        <w:t>”及展示中心，再生资源回收处理示范点，推动产业集群数字化转型，提高产业链协作效率和供应链协同水平，优化资源配置，实现高效回收</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jc w:val="center"/>
        <w:textAlignment w:val="auto"/>
        <w:rPr>
          <w:rFonts w:hint="eastAsia" w:ascii="仿宋_GB2312" w:hAnsi="仿宋_GB2312" w:eastAsia="仿宋_GB2312" w:cs="仿宋_GB2312"/>
          <w:b/>
          <w:bCs/>
          <w:color w:val="auto"/>
          <w:highlight w:val="none"/>
          <w:lang w:val="en-US" w:eastAsia="zh-CN"/>
        </w:rPr>
      </w:pPr>
      <w:r>
        <w:rPr>
          <w:rFonts w:hint="eastAsia" w:ascii="仿宋_GB2312" w:hAnsi="仿宋_GB2312" w:eastAsia="仿宋_GB2312" w:cs="仿宋_GB2312"/>
          <w:b/>
          <w:bCs/>
          <w:color w:val="auto"/>
          <w:sz w:val="30"/>
          <w:szCs w:val="30"/>
          <w:highlight w:val="none"/>
          <w:lang w:val="en-US" w:eastAsia="zh-CN"/>
        </w:rPr>
        <w:t>表2 清城区生活性再生资源回收网络分类模式</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6"/>
        <w:gridCol w:w="5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86" w:type="dxa"/>
            <w:noWrap w:val="0"/>
            <w:vAlign w:val="top"/>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仿宋_GB2312" w:hAnsi="仿宋_GB2312" w:eastAsia="仿宋_GB2312" w:cs="仿宋_GB2312"/>
                <w:b/>
                <w:bCs/>
                <w:color w:val="auto"/>
                <w:sz w:val="28"/>
                <w:szCs w:val="28"/>
                <w:highlight w:val="none"/>
                <w:vertAlign w:val="baseline"/>
                <w:lang w:val="en-US" w:eastAsia="zh-CN"/>
              </w:rPr>
            </w:pPr>
            <w:r>
              <w:rPr>
                <w:rFonts w:hint="eastAsia" w:ascii="仿宋_GB2312" w:hAnsi="仿宋_GB2312" w:eastAsia="仿宋_GB2312" w:cs="仿宋_GB2312"/>
                <w:b/>
                <w:bCs/>
                <w:color w:val="auto"/>
                <w:sz w:val="28"/>
                <w:szCs w:val="28"/>
                <w:highlight w:val="none"/>
                <w:vertAlign w:val="baseline"/>
                <w:lang w:val="en-US" w:eastAsia="zh-CN"/>
              </w:rPr>
              <w:t>模式</w:t>
            </w:r>
          </w:p>
        </w:tc>
        <w:tc>
          <w:tcPr>
            <w:tcW w:w="5036" w:type="dxa"/>
            <w:noWrap w:val="0"/>
            <w:vAlign w:val="top"/>
          </w:tcPr>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eastAsia" w:ascii="仿宋_GB2312" w:hAnsi="仿宋_GB2312" w:eastAsia="仿宋_GB2312" w:cs="仿宋_GB2312"/>
                <w:b/>
                <w:bCs/>
                <w:color w:val="auto"/>
                <w:sz w:val="28"/>
                <w:szCs w:val="28"/>
                <w:highlight w:val="none"/>
                <w:vertAlign w:val="baseline"/>
              </w:rPr>
            </w:pPr>
            <w:r>
              <w:rPr>
                <w:rFonts w:hint="eastAsia" w:ascii="仿宋_GB2312" w:hAnsi="仿宋_GB2312" w:eastAsia="仿宋_GB2312" w:cs="仿宋_GB2312"/>
                <w:b/>
                <w:bCs/>
                <w:color w:val="auto"/>
                <w:sz w:val="28"/>
                <w:szCs w:val="28"/>
                <w:highlight w:val="none"/>
                <w:vertAlign w:val="baseline"/>
                <w:lang w:val="en-US" w:eastAsia="zh-CN"/>
              </w:rPr>
              <w:t>针对情况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lang w:val="en-US" w:eastAsia="zh-CN"/>
              </w:rPr>
              <w:t>智能化回收服务网点（再生资源智能化全品类回收箱）</w:t>
            </w:r>
          </w:p>
        </w:tc>
        <w:tc>
          <w:tcPr>
            <w:tcW w:w="50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rPr>
            </w:pPr>
            <w:r>
              <w:rPr>
                <w:rFonts w:hint="eastAsia" w:ascii="仿宋_GB2312" w:hAnsi="仿宋_GB2312" w:eastAsia="仿宋_GB2312" w:cs="仿宋_GB2312"/>
                <w:color w:val="auto"/>
                <w:sz w:val="28"/>
                <w:szCs w:val="28"/>
                <w:highlight w:val="none"/>
                <w:lang w:val="en-US" w:eastAsia="zh-CN"/>
              </w:rPr>
              <w:t>人口密度较高、中青年人群占比大的企事业单位、城市商业综合体集中地。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lang w:val="en-US" w:eastAsia="zh-CN"/>
              </w:rPr>
              <w:t>人工回收服务和智能化回收服务复合网点</w:t>
            </w:r>
          </w:p>
        </w:tc>
        <w:tc>
          <w:tcPr>
            <w:tcW w:w="50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lang w:val="en-US" w:eastAsia="zh-CN"/>
              </w:rPr>
              <w:t>人口密度较低、老年人和保洁人员群体较大的</w:t>
            </w:r>
            <w:r>
              <w:rPr>
                <w:rFonts w:hint="eastAsia" w:ascii="仿宋_GB2312" w:hAnsi="仿宋_GB2312" w:eastAsia="仿宋_GB2312" w:cs="仿宋_GB2312"/>
                <w:color w:val="auto"/>
                <w:sz w:val="28"/>
                <w:szCs w:val="28"/>
                <w:highlight w:val="none"/>
              </w:rPr>
              <w:t>居民区</w:t>
            </w:r>
            <w:r>
              <w:rPr>
                <w:rFonts w:hint="eastAsia" w:ascii="仿宋_GB2312" w:hAnsi="仿宋_GB2312" w:eastAsia="仿宋_GB2312" w:cs="仿宋_GB2312"/>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lang w:val="en-US" w:eastAsia="zh-CN"/>
              </w:rPr>
              <w:t>人工回收服务网点</w:t>
            </w:r>
          </w:p>
        </w:tc>
        <w:tc>
          <w:tcPr>
            <w:tcW w:w="50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both"/>
              <w:textAlignment w:val="auto"/>
              <w:rPr>
                <w:rFonts w:hint="eastAsia" w:ascii="仿宋_GB2312" w:hAnsi="仿宋_GB2312" w:eastAsia="仿宋_GB2312" w:cs="仿宋_GB2312"/>
                <w:color w:val="auto"/>
                <w:sz w:val="28"/>
                <w:szCs w:val="28"/>
                <w:highlight w:val="none"/>
                <w:vertAlign w:val="baseline"/>
              </w:rPr>
            </w:pPr>
            <w:r>
              <w:rPr>
                <w:rFonts w:hint="eastAsia" w:ascii="仿宋_GB2312" w:hAnsi="仿宋_GB2312" w:eastAsia="仿宋_GB2312" w:cs="仿宋_GB2312"/>
                <w:color w:val="auto"/>
                <w:sz w:val="28"/>
                <w:szCs w:val="28"/>
                <w:highlight w:val="none"/>
                <w:lang w:val="en-US" w:eastAsia="zh-CN"/>
              </w:rPr>
              <w:t>地大偏远，老年和低龄幼龄人员占比大，人员文化水平较低的自然村。</w:t>
            </w:r>
          </w:p>
        </w:tc>
      </w:tr>
    </w:tbl>
    <w:p>
      <w:pPr>
        <w:keepNext w:val="0"/>
        <w:keepLines w:val="0"/>
        <w:pageBreakBefore w:val="0"/>
        <w:widowControl w:val="0"/>
        <w:kinsoku/>
        <w:wordWrap/>
        <w:overflowPunct/>
        <w:topLinePunct w:val="0"/>
        <w:autoSpaceDE/>
        <w:autoSpaceDN/>
        <w:bidi w:val="0"/>
        <w:adjustRightInd w:val="0"/>
        <w:snapToGrid w:val="0"/>
        <w:spacing w:before="313" w:beforeLines="100" w:line="480" w:lineRule="exact"/>
        <w:jc w:val="center"/>
        <w:textAlignment w:val="auto"/>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drawing>
          <wp:anchor distT="0" distB="0" distL="114300" distR="114300" simplePos="0" relativeHeight="251659264" behindDoc="0" locked="0" layoutInCell="1" allowOverlap="1">
            <wp:simplePos x="0" y="0"/>
            <wp:positionH relativeFrom="column">
              <wp:posOffset>61595</wp:posOffset>
            </wp:positionH>
            <wp:positionV relativeFrom="paragraph">
              <wp:posOffset>762000</wp:posOffset>
            </wp:positionV>
            <wp:extent cx="5271770" cy="2106295"/>
            <wp:effectExtent l="0" t="0" r="5080" b="8255"/>
            <wp:wrapTopAndBottom/>
            <wp:docPr id="1" name="图片 6" descr="1630840333(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6" descr="1630840333(1)"/>
                    <pic:cNvPicPr>
                      <a:picLocks noChangeAspect="true"/>
                    </pic:cNvPicPr>
                  </pic:nvPicPr>
                  <pic:blipFill>
                    <a:blip r:embed="rId9"/>
                    <a:stretch>
                      <a:fillRect/>
                    </a:stretch>
                  </pic:blipFill>
                  <pic:spPr>
                    <a:xfrm>
                      <a:off x="0" y="0"/>
                      <a:ext cx="5271770" cy="2106295"/>
                    </a:xfrm>
                    <a:prstGeom prst="rect">
                      <a:avLst/>
                    </a:prstGeom>
                    <a:noFill/>
                    <a:ln>
                      <a:noFill/>
                    </a:ln>
                  </pic:spPr>
                </pic:pic>
              </a:graphicData>
            </a:graphic>
          </wp:anchor>
        </w:drawing>
      </w:r>
      <w:r>
        <w:rPr>
          <w:rFonts w:hint="eastAsia" w:ascii="仿宋_GB2312" w:hAnsi="仿宋_GB2312" w:eastAsia="仿宋_GB2312" w:cs="仿宋_GB2312"/>
          <w:b/>
          <w:bCs/>
          <w:color w:val="auto"/>
          <w:sz w:val="30"/>
          <w:szCs w:val="30"/>
          <w:highlight w:val="none"/>
          <w:lang w:val="en-US" w:eastAsia="zh-CN"/>
        </w:rPr>
        <w:t>图3 清城区生活性再生资源回收网络分类模式</w:t>
      </w:r>
      <w:bookmarkStart w:id="252" w:name="_Toc9142"/>
      <w:bookmarkStart w:id="253" w:name="_Toc19928"/>
      <w:bookmarkStart w:id="254" w:name="_Toc15064"/>
      <w:bookmarkStart w:id="255" w:name="_Toc7760"/>
      <w:bookmarkStart w:id="256" w:name="_Toc16124"/>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57" w:name="_Toc12007"/>
      <w:bookmarkStart w:id="258" w:name="_Toc31948"/>
      <w:bookmarkStart w:id="259" w:name="_Toc10309"/>
      <w:bookmarkStart w:id="260" w:name="_Toc25725"/>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二</w:t>
      </w:r>
      <w:r>
        <w:rPr>
          <w:rFonts w:hint="eastAsia" w:ascii="楷体_GB2312" w:hAnsi="楷体_GB2312" w:eastAsia="楷体_GB2312" w:cs="楷体_GB2312"/>
          <w:b w:val="0"/>
          <w:bCs w:val="0"/>
          <w:color w:val="auto"/>
          <w:sz w:val="32"/>
          <w:szCs w:val="32"/>
          <w:highlight w:val="none"/>
          <w:lang w:eastAsia="zh-CN"/>
        </w:rPr>
        <w:t>）生产性再生资源回收网络</w:t>
      </w:r>
      <w:bookmarkEnd w:id="252"/>
      <w:bookmarkEnd w:id="253"/>
      <w:bookmarkEnd w:id="254"/>
      <w:bookmarkEnd w:id="255"/>
      <w:bookmarkEnd w:id="256"/>
      <w:bookmarkEnd w:id="257"/>
      <w:bookmarkEnd w:id="258"/>
      <w:bookmarkEnd w:id="259"/>
      <w:bookmarkEnd w:id="260"/>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color w:val="auto"/>
          <w:sz w:val="32"/>
          <w:szCs w:val="32"/>
          <w:highlight w:val="none"/>
        </w:rPr>
        <w:t>生产性再生资源由</w:t>
      </w:r>
      <w:r>
        <w:rPr>
          <w:rFonts w:hint="eastAsia" w:ascii="仿宋_GB2312" w:hAnsi="仿宋_GB2312" w:eastAsia="仿宋_GB2312" w:cs="仿宋_GB2312"/>
          <w:color w:val="auto"/>
          <w:sz w:val="32"/>
          <w:szCs w:val="32"/>
          <w:highlight w:val="none"/>
          <w:lang w:val="en-US" w:eastAsia="zh-CN"/>
        </w:rPr>
        <w:t>分拣中心或规范的再生资源回收企业</w:t>
      </w:r>
      <w:r>
        <w:rPr>
          <w:rFonts w:hint="eastAsia" w:ascii="仿宋_GB2312" w:hAnsi="仿宋_GB2312" w:eastAsia="仿宋_GB2312" w:cs="仿宋_GB2312"/>
          <w:color w:val="auto"/>
          <w:sz w:val="32"/>
          <w:szCs w:val="32"/>
          <w:highlight w:val="none"/>
        </w:rPr>
        <w:t>与生产企业签订合同来实现</w:t>
      </w:r>
      <w:r>
        <w:rPr>
          <w:rFonts w:hint="eastAsia" w:ascii="仿宋_GB2312" w:hAnsi="仿宋_GB2312" w:eastAsia="仿宋_GB2312" w:cs="仿宋_GB2312"/>
          <w:color w:val="auto"/>
          <w:sz w:val="32"/>
          <w:szCs w:val="32"/>
          <w:highlight w:val="none"/>
          <w:lang w:val="en-US" w:eastAsia="zh-CN"/>
        </w:rPr>
        <w:t>直接</w:t>
      </w:r>
      <w:r>
        <w:rPr>
          <w:rFonts w:hint="eastAsia" w:ascii="仿宋_GB2312" w:hAnsi="仿宋_GB2312" w:eastAsia="仿宋_GB2312" w:cs="仿宋_GB2312"/>
          <w:color w:val="auto"/>
          <w:sz w:val="32"/>
          <w:szCs w:val="32"/>
          <w:highlight w:val="none"/>
        </w:rPr>
        <w:t>收购、</w:t>
      </w:r>
      <w:r>
        <w:rPr>
          <w:rFonts w:hint="eastAsia" w:ascii="仿宋_GB2312" w:hAnsi="仿宋_GB2312" w:eastAsia="仿宋_GB2312" w:cs="仿宋_GB2312"/>
          <w:color w:val="auto"/>
          <w:sz w:val="32"/>
          <w:szCs w:val="32"/>
          <w:highlight w:val="none"/>
          <w:lang w:val="en-US" w:eastAsia="zh-CN"/>
        </w:rPr>
        <w:t>交投</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减少中间流程，</w:t>
      </w:r>
      <w:r>
        <w:rPr>
          <w:rFonts w:hint="eastAsia" w:ascii="仿宋_GB2312" w:hAnsi="仿宋_GB2312" w:eastAsia="仿宋_GB2312" w:cs="仿宋_GB2312"/>
          <w:color w:val="auto"/>
          <w:sz w:val="32"/>
          <w:szCs w:val="32"/>
          <w:highlight w:val="none"/>
        </w:rPr>
        <w:t>再经过分拣中心的分拣</w:t>
      </w:r>
      <w:r>
        <w:rPr>
          <w:rFonts w:hint="eastAsia" w:ascii="仿宋_GB2312" w:hAnsi="仿宋_GB2312" w:eastAsia="仿宋_GB2312" w:cs="仿宋_GB2312"/>
          <w:color w:val="auto"/>
          <w:sz w:val="32"/>
          <w:szCs w:val="32"/>
          <w:highlight w:val="none"/>
          <w:lang w:val="en-US" w:eastAsia="zh-CN"/>
        </w:rPr>
        <w:t>、分类</w:t>
      </w:r>
      <w:r>
        <w:rPr>
          <w:rFonts w:hint="eastAsia" w:ascii="仿宋_GB2312" w:hAnsi="仿宋_GB2312" w:eastAsia="仿宋_GB2312" w:cs="仿宋_GB2312"/>
          <w:color w:val="auto"/>
          <w:sz w:val="32"/>
          <w:szCs w:val="32"/>
          <w:highlight w:val="none"/>
        </w:rPr>
        <w:t>及打包处理，直接流向</w:t>
      </w:r>
      <w:r>
        <w:rPr>
          <w:rFonts w:hint="eastAsia" w:ascii="仿宋_GB2312" w:hAnsi="仿宋_GB2312" w:eastAsia="仿宋_GB2312" w:cs="仿宋_GB2312"/>
          <w:color w:val="auto"/>
          <w:sz w:val="32"/>
          <w:szCs w:val="32"/>
          <w:highlight w:val="none"/>
          <w:lang w:val="en-US" w:eastAsia="zh-CN"/>
        </w:rPr>
        <w:t>各品类的</w:t>
      </w:r>
      <w:r>
        <w:rPr>
          <w:rFonts w:hint="eastAsia" w:ascii="仿宋_GB2312" w:hAnsi="仿宋_GB2312" w:eastAsia="仿宋_GB2312" w:cs="仿宋_GB2312"/>
          <w:color w:val="auto"/>
          <w:sz w:val="32"/>
          <w:szCs w:val="32"/>
          <w:highlight w:val="none"/>
        </w:rPr>
        <w:t>综合利用企业</w:t>
      </w:r>
      <w:r>
        <w:rPr>
          <w:rFonts w:hint="eastAsia" w:ascii="仿宋_GB2312" w:hAnsi="仿宋_GB2312" w:eastAsia="仿宋_GB2312" w:cs="仿宋_GB2312"/>
          <w:color w:val="auto"/>
          <w:sz w:val="32"/>
          <w:szCs w:val="32"/>
          <w:highlight w:val="none"/>
          <w:lang w:val="en-US" w:eastAsia="zh-CN"/>
        </w:rPr>
        <w:t>进行直接回收加工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包括生产工厂中产生的黑色金属和有色金属废料、报废的机械设备以及作为废旧物资处理的仓储积压产品</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如遇到分类为危险废物的产品则由有资质的公司进行储存、转运、处理</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before="313" w:beforeLines="100" w:line="480" w:lineRule="exact"/>
        <w:jc w:val="center"/>
        <w:textAlignment w:val="auto"/>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lang w:eastAsia="zh-CN"/>
        </w:rPr>
        <w:drawing>
          <wp:anchor distT="0" distB="0" distL="114300" distR="114300" simplePos="0" relativeHeight="251660288" behindDoc="0" locked="0" layoutInCell="1" allowOverlap="1">
            <wp:simplePos x="0" y="0"/>
            <wp:positionH relativeFrom="column">
              <wp:posOffset>672465</wp:posOffset>
            </wp:positionH>
            <wp:positionV relativeFrom="paragraph">
              <wp:posOffset>593725</wp:posOffset>
            </wp:positionV>
            <wp:extent cx="4068445" cy="1590675"/>
            <wp:effectExtent l="0" t="0" r="8255" b="9525"/>
            <wp:wrapTopAndBottom/>
            <wp:docPr id="2" name="图片 7" descr="1630840790(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7" descr="1630840790(1)"/>
                    <pic:cNvPicPr>
                      <a:picLocks noChangeAspect="true"/>
                    </pic:cNvPicPr>
                  </pic:nvPicPr>
                  <pic:blipFill>
                    <a:blip r:embed="rId10"/>
                    <a:stretch>
                      <a:fillRect/>
                    </a:stretch>
                  </pic:blipFill>
                  <pic:spPr>
                    <a:xfrm>
                      <a:off x="0" y="0"/>
                      <a:ext cx="4068445" cy="1590675"/>
                    </a:xfrm>
                    <a:prstGeom prst="rect">
                      <a:avLst/>
                    </a:prstGeom>
                    <a:noFill/>
                    <a:ln>
                      <a:noFill/>
                    </a:ln>
                  </pic:spPr>
                </pic:pic>
              </a:graphicData>
            </a:graphic>
          </wp:anchor>
        </w:drawing>
      </w:r>
      <w:r>
        <w:rPr>
          <w:rFonts w:hint="eastAsia" w:ascii="仿宋_GB2312" w:hAnsi="仿宋_GB2312" w:eastAsia="仿宋_GB2312" w:cs="仿宋_GB2312"/>
          <w:b/>
          <w:bCs/>
          <w:color w:val="auto"/>
          <w:sz w:val="30"/>
          <w:szCs w:val="30"/>
          <w:highlight w:val="none"/>
          <w:lang w:val="en-US" w:eastAsia="zh-CN"/>
        </w:rPr>
        <w:t>图4 清城区生产性再生资源回收网络分类模式</w:t>
      </w:r>
      <w:bookmarkStart w:id="261" w:name="_Toc5802"/>
      <w:bookmarkStart w:id="262" w:name="_Toc12171"/>
      <w:bookmarkStart w:id="263" w:name="_Toc30984"/>
      <w:bookmarkStart w:id="264" w:name="_Toc30912"/>
      <w:bookmarkStart w:id="265" w:name="_Toc207"/>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66" w:name="_Toc23260"/>
      <w:bookmarkStart w:id="267" w:name="_Toc4821"/>
      <w:bookmarkStart w:id="268" w:name="_Toc25954"/>
      <w:bookmarkStart w:id="269" w:name="_Toc14266"/>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）搭建</w:t>
      </w:r>
      <w:r>
        <w:rPr>
          <w:rFonts w:hint="eastAsia" w:ascii="楷体_GB2312" w:hAnsi="楷体_GB2312" w:eastAsia="楷体_GB2312" w:cs="楷体_GB2312"/>
          <w:b w:val="0"/>
          <w:bCs w:val="0"/>
          <w:color w:val="auto"/>
          <w:sz w:val="32"/>
          <w:szCs w:val="32"/>
          <w:highlight w:val="none"/>
          <w:lang w:val="en-US" w:eastAsia="zh-CN"/>
        </w:rPr>
        <w:t>绿色</w:t>
      </w:r>
      <w:r>
        <w:rPr>
          <w:rFonts w:hint="eastAsia" w:ascii="楷体_GB2312" w:hAnsi="楷体_GB2312" w:eastAsia="楷体_GB2312" w:cs="楷体_GB2312"/>
          <w:b w:val="0"/>
          <w:bCs w:val="0"/>
          <w:color w:val="auto"/>
          <w:sz w:val="32"/>
          <w:szCs w:val="32"/>
          <w:highlight w:val="none"/>
          <w:lang w:eastAsia="zh-CN"/>
        </w:rPr>
        <w:t>智慧</w:t>
      </w:r>
      <w:r>
        <w:rPr>
          <w:rFonts w:hint="eastAsia" w:ascii="楷体_GB2312" w:hAnsi="楷体_GB2312" w:eastAsia="楷体_GB2312" w:cs="楷体_GB2312"/>
          <w:b w:val="0"/>
          <w:bCs w:val="0"/>
          <w:color w:val="auto"/>
          <w:sz w:val="32"/>
          <w:szCs w:val="32"/>
          <w:highlight w:val="none"/>
          <w:lang w:val="en-US" w:eastAsia="zh-CN"/>
        </w:rPr>
        <w:t>型</w:t>
      </w:r>
      <w:r>
        <w:rPr>
          <w:rFonts w:hint="eastAsia" w:ascii="楷体_GB2312" w:hAnsi="楷体_GB2312" w:eastAsia="楷体_GB2312" w:cs="楷体_GB2312"/>
          <w:b w:val="0"/>
          <w:bCs w:val="0"/>
          <w:color w:val="auto"/>
          <w:sz w:val="32"/>
          <w:szCs w:val="32"/>
          <w:highlight w:val="none"/>
          <w:lang w:eastAsia="zh-CN"/>
        </w:rPr>
        <w:t>管理网络体系</w:t>
      </w:r>
      <w:bookmarkEnd w:id="261"/>
      <w:bookmarkEnd w:id="262"/>
      <w:bookmarkEnd w:id="263"/>
      <w:bookmarkEnd w:id="264"/>
      <w:bookmarkEnd w:id="265"/>
      <w:bookmarkEnd w:id="266"/>
      <w:bookmarkEnd w:id="267"/>
      <w:bookmarkEnd w:id="268"/>
      <w:bookmarkEnd w:id="269"/>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搭建覆盖“</w:t>
      </w:r>
      <w:r>
        <w:rPr>
          <w:rFonts w:hint="eastAsia" w:ascii="仿宋_GB2312" w:hAnsi="仿宋_GB2312" w:eastAsia="仿宋_GB2312" w:cs="仿宋_GB2312"/>
          <w:color w:val="auto"/>
          <w:sz w:val="32"/>
          <w:szCs w:val="32"/>
          <w:highlight w:val="none"/>
          <w:lang w:val="en-US" w:eastAsia="zh-CN"/>
        </w:rPr>
        <w:t>社区</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中转站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分拣中心</w:t>
      </w:r>
      <w:r>
        <w:rPr>
          <w:rFonts w:hint="eastAsia" w:ascii="仿宋_GB2312" w:hAnsi="仿宋_GB2312" w:eastAsia="仿宋_GB2312" w:cs="仿宋_GB2312"/>
          <w:color w:val="auto"/>
          <w:sz w:val="32"/>
          <w:szCs w:val="32"/>
          <w:highlight w:val="none"/>
          <w:lang w:eastAsia="zh-CN"/>
        </w:rPr>
        <w:t>——再生资源综合利用基地（</w:t>
      </w:r>
      <w:r>
        <w:rPr>
          <w:rFonts w:hint="eastAsia" w:ascii="仿宋_GB2312" w:hAnsi="仿宋_GB2312" w:eastAsia="仿宋_GB2312" w:cs="仿宋_GB2312"/>
          <w:color w:val="auto"/>
          <w:sz w:val="32"/>
          <w:szCs w:val="32"/>
          <w:highlight w:val="none"/>
          <w:lang w:val="en-US" w:eastAsia="zh-CN"/>
        </w:rPr>
        <w:t>园区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四级</w:t>
      </w:r>
      <w:r>
        <w:rPr>
          <w:rFonts w:hint="eastAsia" w:ascii="仿宋_GB2312" w:hAnsi="仿宋_GB2312" w:eastAsia="仿宋_GB2312" w:cs="仿宋_GB2312"/>
          <w:color w:val="auto"/>
          <w:sz w:val="32"/>
          <w:szCs w:val="32"/>
          <w:highlight w:val="none"/>
          <w:lang w:val="en-US" w:eastAsia="zh-CN"/>
        </w:rPr>
        <w:t>回收网点</w:t>
      </w:r>
      <w:r>
        <w:rPr>
          <w:rFonts w:hint="eastAsia" w:ascii="仿宋_GB2312" w:hAnsi="仿宋_GB2312" w:eastAsia="仿宋_GB2312" w:cs="仿宋_GB2312"/>
          <w:color w:val="auto"/>
          <w:sz w:val="32"/>
          <w:szCs w:val="32"/>
          <w:highlight w:val="none"/>
        </w:rPr>
        <w:t>体系的“清城区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平台”。充分利用“互联网+”、云计算、决策分析优化等信息技术，</w:t>
      </w:r>
      <w:r>
        <w:rPr>
          <w:rFonts w:hint="eastAsia" w:ascii="仿宋_GB2312" w:hAnsi="仿宋_GB2312" w:eastAsia="仿宋_GB2312" w:cs="仿宋_GB2312"/>
          <w:color w:val="auto"/>
          <w:sz w:val="32"/>
          <w:szCs w:val="32"/>
          <w:highlight w:val="none"/>
          <w:lang w:val="en-US" w:eastAsia="zh-CN"/>
        </w:rPr>
        <w:t>推动</w:t>
      </w:r>
      <w:r>
        <w:rPr>
          <w:rFonts w:hint="eastAsia" w:ascii="仿宋_GB2312" w:hAnsi="仿宋_GB2312" w:eastAsia="仿宋_GB2312" w:cs="仿宋_GB2312"/>
          <w:color w:val="auto"/>
          <w:sz w:val="32"/>
          <w:szCs w:val="32"/>
          <w:highlight w:val="none"/>
        </w:rPr>
        <w:t>中转站、分拣中心运营企业建设企业数字化信息管理中心，实时收集进出的再生资源种类、数量、上下游客户名称、运输车辆信息</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，实现数据统计、分析、监控</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以及</w:t>
      </w:r>
      <w:r>
        <w:rPr>
          <w:rFonts w:hint="eastAsia" w:ascii="仿宋_GB2312" w:hAnsi="仿宋_GB2312" w:eastAsia="仿宋_GB2312" w:cs="仿宋_GB2312"/>
          <w:color w:val="auto"/>
          <w:sz w:val="32"/>
          <w:szCs w:val="32"/>
          <w:highlight w:val="none"/>
        </w:rPr>
        <w:t>对进站收集车辆进行智能化调度管理等功能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并将该信息管理中心与区域再生资源信息管理平台实现联网，实时上传企业经营数据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进一步</w:t>
      </w:r>
      <w:r>
        <w:rPr>
          <w:rFonts w:hint="eastAsia" w:ascii="仿宋_GB2312" w:hAnsi="仿宋_GB2312" w:eastAsia="仿宋_GB2312" w:cs="仿宋_GB2312"/>
          <w:color w:val="auto"/>
          <w:sz w:val="32"/>
          <w:szCs w:val="32"/>
          <w:highlight w:val="none"/>
        </w:rPr>
        <w:t>提升企业管理水平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在规范企业财务管理的</w:t>
      </w:r>
      <w:r>
        <w:rPr>
          <w:rFonts w:hint="eastAsia" w:ascii="仿宋_GB2312" w:hAnsi="仿宋_GB2312" w:eastAsia="仿宋_GB2312" w:cs="仿宋_GB2312"/>
          <w:color w:val="auto"/>
          <w:sz w:val="32"/>
          <w:szCs w:val="32"/>
          <w:highlight w:val="none"/>
        </w:rPr>
        <w:t>同时为税务部门提供真实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可靠的运营数据，实现</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运输</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处理利用”的全流程数字化监管、智慧化管理。</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平台”依托最新的物联网技术，通过在再生资源智能化全品类回收箱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人工回收站</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val="en-US" w:eastAsia="zh-CN"/>
        </w:rPr>
        <w:t>专用</w:t>
      </w:r>
      <w:r>
        <w:rPr>
          <w:rFonts w:hint="eastAsia" w:ascii="仿宋_GB2312" w:hAnsi="仿宋_GB2312" w:eastAsia="仿宋_GB2312" w:cs="仿宋_GB2312"/>
          <w:color w:val="auto"/>
          <w:sz w:val="32"/>
          <w:szCs w:val="32"/>
          <w:highlight w:val="none"/>
        </w:rPr>
        <w:t>清运车辆上设置实时定位和数据采集系统，探索打造一套先进的“车联网”系统，能实现物流智能派单、接单和快速流动回收服务，保障高效清运和监管。</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依托</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以应用场景为依托推动数据互联互通、业务协同与融合创新，提高产业链协作效率和供应链协同水平，打通产业链上下游、跨区域跨行业的设备、系统、企业间的数据孤岛，形成高效协同、安全可控的新型产业链供应链体系。</w:t>
      </w:r>
      <w:bookmarkStart w:id="270" w:name="_Toc2954"/>
      <w:bookmarkStart w:id="271" w:name="_Toc4704"/>
      <w:bookmarkStart w:id="272" w:name="_Toc21008"/>
      <w:bookmarkStart w:id="273" w:name="_Toc18790"/>
      <w:bookmarkStart w:id="274" w:name="_Toc32739"/>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275" w:name="_Toc2423"/>
      <w:bookmarkStart w:id="276" w:name="_Toc16251"/>
      <w:bookmarkStart w:id="277" w:name="_Toc1315"/>
      <w:bookmarkStart w:id="278" w:name="_Toc2092"/>
      <w:r>
        <w:rPr>
          <w:rFonts w:hint="eastAsia" w:ascii="黑体" w:hAnsi="黑体" w:eastAsia="黑体" w:cs="黑体"/>
          <w:b w:val="0"/>
          <w:bCs w:val="0"/>
          <w:color w:val="auto"/>
          <w:sz w:val="32"/>
          <w:szCs w:val="32"/>
          <w:highlight w:val="none"/>
          <w:lang w:val="en-US" w:eastAsia="zh-CN"/>
        </w:rPr>
        <w:t>二、清城区再生资源回收网点构成</w:t>
      </w:r>
      <w:bookmarkEnd w:id="270"/>
      <w:bookmarkEnd w:id="271"/>
      <w:bookmarkEnd w:id="272"/>
      <w:bookmarkEnd w:id="273"/>
      <w:bookmarkEnd w:id="274"/>
      <w:bookmarkEnd w:id="275"/>
      <w:bookmarkEnd w:id="276"/>
      <w:bookmarkEnd w:id="277"/>
      <w:bookmarkEnd w:id="278"/>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清城区再生资源回收</w:t>
      </w:r>
      <w:r>
        <w:rPr>
          <w:rFonts w:hint="eastAsia" w:ascii="仿宋_GB2312" w:hAnsi="仿宋_GB2312" w:eastAsia="仿宋_GB2312" w:cs="仿宋_GB2312"/>
          <w:color w:val="auto"/>
          <w:sz w:val="32"/>
          <w:szCs w:val="32"/>
          <w:highlight w:val="none"/>
          <w:lang w:val="en-US" w:eastAsia="zh-CN"/>
        </w:rPr>
        <w:t>网点</w:t>
      </w:r>
      <w:r>
        <w:rPr>
          <w:rFonts w:hint="eastAsia" w:ascii="仿宋_GB2312" w:hAnsi="仿宋_GB2312" w:eastAsia="仿宋_GB2312" w:cs="仿宋_GB2312"/>
          <w:color w:val="auto"/>
          <w:sz w:val="32"/>
          <w:szCs w:val="32"/>
          <w:highlight w:val="none"/>
        </w:rPr>
        <w:t>由社区回收网点、中转站、分拣中心、综合利用基地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园区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等四部分组成。</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79" w:name="_Toc2827"/>
      <w:bookmarkStart w:id="280" w:name="_Toc31562"/>
      <w:bookmarkStart w:id="281" w:name="_Toc18255"/>
      <w:bookmarkStart w:id="282" w:name="_Toc16863"/>
      <w:bookmarkStart w:id="283" w:name="_Toc17219"/>
      <w:bookmarkStart w:id="284" w:name="_Toc17911"/>
      <w:bookmarkStart w:id="285" w:name="_Toc15235"/>
      <w:bookmarkStart w:id="286" w:name="_Toc12428"/>
      <w:bookmarkStart w:id="287" w:name="_Toc27886"/>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一</w:t>
      </w:r>
      <w:r>
        <w:rPr>
          <w:rFonts w:hint="eastAsia" w:ascii="楷体_GB2312" w:hAnsi="楷体_GB2312" w:eastAsia="楷体_GB2312" w:cs="楷体_GB2312"/>
          <w:b w:val="0"/>
          <w:bCs w:val="0"/>
          <w:color w:val="auto"/>
          <w:sz w:val="32"/>
          <w:szCs w:val="32"/>
          <w:highlight w:val="none"/>
          <w:lang w:eastAsia="zh-CN"/>
        </w:rPr>
        <w:t>）社区回收网点</w:t>
      </w:r>
      <w:bookmarkEnd w:id="279"/>
      <w:bookmarkEnd w:id="280"/>
      <w:bookmarkEnd w:id="281"/>
      <w:bookmarkEnd w:id="282"/>
      <w:bookmarkEnd w:id="283"/>
      <w:bookmarkEnd w:id="284"/>
      <w:bookmarkEnd w:id="285"/>
      <w:bookmarkEnd w:id="286"/>
      <w:bookmarkEnd w:id="287"/>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社区回收网点分为</w:t>
      </w:r>
      <w:r>
        <w:rPr>
          <w:rFonts w:hint="eastAsia" w:ascii="仿宋_GB2312" w:hAnsi="仿宋_GB2312" w:eastAsia="仿宋_GB2312" w:cs="仿宋_GB2312"/>
          <w:color w:val="auto"/>
          <w:sz w:val="32"/>
          <w:szCs w:val="32"/>
          <w:highlight w:val="none"/>
          <w:lang w:val="en-US" w:eastAsia="zh-CN"/>
        </w:rPr>
        <w:t>人工回收服务网点</w:t>
      </w:r>
      <w:r>
        <w:rPr>
          <w:rFonts w:hint="eastAsia" w:ascii="仿宋_GB2312" w:hAnsi="仿宋_GB2312" w:eastAsia="仿宋_GB2312" w:cs="仿宋_GB2312"/>
          <w:color w:val="auto"/>
          <w:sz w:val="32"/>
          <w:szCs w:val="32"/>
          <w:highlight w:val="none"/>
          <w:lang w:val="en-US"/>
        </w:rPr>
        <w:t>、</w:t>
      </w:r>
      <w:r>
        <w:rPr>
          <w:rFonts w:hint="eastAsia" w:ascii="仿宋_GB2312" w:hAnsi="仿宋_GB2312" w:eastAsia="仿宋_GB2312" w:cs="仿宋_GB2312"/>
          <w:color w:val="auto"/>
          <w:sz w:val="32"/>
          <w:szCs w:val="32"/>
          <w:highlight w:val="none"/>
          <w:lang w:val="en-US" w:eastAsia="zh-CN"/>
        </w:rPr>
        <w:t>人工回收服务和智能化回收服务复合网点</w:t>
      </w:r>
      <w:r>
        <w:rPr>
          <w:rFonts w:hint="eastAsia" w:ascii="仿宋_GB2312" w:hAnsi="仿宋_GB2312" w:eastAsia="仿宋_GB2312" w:cs="仿宋_GB2312"/>
          <w:color w:val="auto"/>
          <w:sz w:val="32"/>
          <w:szCs w:val="32"/>
          <w:highlight w:val="none"/>
          <w:lang w:val="en-US"/>
        </w:rPr>
        <w:t>以及</w:t>
      </w:r>
      <w:r>
        <w:rPr>
          <w:rFonts w:hint="eastAsia" w:ascii="仿宋_GB2312" w:hAnsi="仿宋_GB2312" w:eastAsia="仿宋_GB2312" w:cs="仿宋_GB2312"/>
          <w:color w:val="auto"/>
          <w:sz w:val="32"/>
          <w:szCs w:val="32"/>
          <w:highlight w:val="none"/>
          <w:lang w:val="en-US" w:eastAsia="zh-CN"/>
        </w:rPr>
        <w:t>智能化回收服务网点（再生资源智能化全品类回收箱）三类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是再生资源回收网点规划的基础环节</w:t>
      </w:r>
      <w:r>
        <w:rPr>
          <w:rFonts w:hint="eastAsia" w:ascii="仿宋_GB2312" w:hAnsi="仿宋_GB2312" w:eastAsia="仿宋_GB2312" w:cs="仿宋_GB2312"/>
          <w:color w:val="auto"/>
          <w:sz w:val="32"/>
          <w:szCs w:val="32"/>
          <w:highlight w:val="none"/>
        </w:rPr>
        <w:t>。按照与周边环境相协调的原则，科学设置、整合</w:t>
      </w:r>
      <w:r>
        <w:rPr>
          <w:rFonts w:hint="eastAsia" w:ascii="仿宋_GB2312" w:hAnsi="仿宋_GB2312" w:eastAsia="仿宋_GB2312" w:cs="仿宋_GB2312"/>
          <w:color w:val="auto"/>
          <w:sz w:val="32"/>
          <w:szCs w:val="32"/>
          <w:highlight w:val="none"/>
          <w:lang w:eastAsia="zh-CN"/>
        </w:rPr>
        <w:t>回收网点</w:t>
      </w:r>
      <w:r>
        <w:rPr>
          <w:rFonts w:hint="eastAsia" w:ascii="仿宋_GB2312" w:hAnsi="仿宋_GB2312" w:eastAsia="仿宋_GB2312" w:cs="仿宋_GB2312"/>
          <w:color w:val="auto"/>
          <w:sz w:val="32"/>
          <w:szCs w:val="32"/>
          <w:highlight w:val="none"/>
        </w:rPr>
        <w:t>，配备</w:t>
      </w:r>
      <w:r>
        <w:rPr>
          <w:rFonts w:hint="eastAsia" w:ascii="仿宋_GB2312" w:hAnsi="仿宋_GB2312" w:eastAsia="仿宋_GB2312" w:cs="仿宋_GB2312"/>
          <w:color w:val="auto"/>
          <w:sz w:val="32"/>
          <w:szCs w:val="32"/>
          <w:highlight w:val="none"/>
          <w:lang w:val="en-US" w:eastAsia="zh-CN"/>
        </w:rPr>
        <w:t>人工回收小型工具车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主要为社区或村提供定点和上门回收服务</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88" w:name="_Toc12374"/>
      <w:bookmarkStart w:id="289" w:name="_Toc28427"/>
      <w:bookmarkStart w:id="290" w:name="_Toc30050"/>
      <w:bookmarkStart w:id="291" w:name="_Toc20867"/>
      <w:bookmarkStart w:id="292" w:name="_Toc18304"/>
      <w:bookmarkStart w:id="293" w:name="_Toc28814"/>
      <w:bookmarkStart w:id="294" w:name="_Toc21176"/>
      <w:bookmarkStart w:id="295" w:name="_Toc9457"/>
      <w:bookmarkStart w:id="296" w:name="_Toc32549"/>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二</w:t>
      </w:r>
      <w:r>
        <w:rPr>
          <w:rFonts w:hint="eastAsia" w:ascii="楷体_GB2312" w:hAnsi="楷体_GB2312" w:eastAsia="楷体_GB2312" w:cs="楷体_GB2312"/>
          <w:b w:val="0"/>
          <w:bCs w:val="0"/>
          <w:color w:val="auto"/>
          <w:sz w:val="32"/>
          <w:szCs w:val="32"/>
          <w:highlight w:val="none"/>
          <w:lang w:eastAsia="zh-CN"/>
        </w:rPr>
        <w:t>）中转站</w:t>
      </w:r>
      <w:bookmarkEnd w:id="288"/>
      <w:bookmarkEnd w:id="289"/>
      <w:bookmarkEnd w:id="290"/>
      <w:bookmarkEnd w:id="291"/>
      <w:bookmarkEnd w:id="292"/>
      <w:bookmarkEnd w:id="293"/>
      <w:bookmarkEnd w:id="294"/>
      <w:bookmarkEnd w:id="295"/>
      <w:bookmarkEnd w:id="296"/>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中转站是再生资源回收网点规划的纽带环节，按区域经济和人口发展需求，必要时依托生活垃圾分类收运体系设置中转站，对再生资源进行回收、初分类、储运和中转，中转站以收运社区回收网点的再生资源为主，并加以短期存储。</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297" w:name="_Toc30589"/>
      <w:bookmarkStart w:id="298" w:name="_Toc111"/>
      <w:bookmarkStart w:id="299" w:name="_Toc31703"/>
      <w:bookmarkStart w:id="300" w:name="_Toc5019"/>
      <w:bookmarkStart w:id="301" w:name="_Toc22320"/>
      <w:bookmarkStart w:id="302" w:name="_Toc24380"/>
      <w:bookmarkStart w:id="303" w:name="_Toc13292"/>
      <w:bookmarkStart w:id="304" w:name="_Toc6663"/>
      <w:bookmarkStart w:id="305" w:name="_Toc11579"/>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）分拣中心</w:t>
      </w:r>
      <w:bookmarkEnd w:id="297"/>
      <w:bookmarkEnd w:id="298"/>
      <w:bookmarkEnd w:id="299"/>
      <w:bookmarkEnd w:id="300"/>
      <w:bookmarkEnd w:id="301"/>
      <w:bookmarkEnd w:id="302"/>
      <w:bookmarkEnd w:id="303"/>
      <w:bookmarkEnd w:id="304"/>
      <w:bookmarkEnd w:id="305"/>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分拣中心</w:t>
      </w:r>
      <w:r>
        <w:rPr>
          <w:rFonts w:hint="eastAsia" w:ascii="仿宋_GB2312" w:hAnsi="仿宋_GB2312" w:eastAsia="仿宋_GB2312" w:cs="仿宋_GB2312"/>
          <w:color w:val="auto"/>
          <w:sz w:val="32"/>
          <w:szCs w:val="32"/>
          <w:highlight w:val="none"/>
          <w:lang w:val="en-US" w:eastAsia="zh-CN"/>
        </w:rPr>
        <w:t>是再生资源回收网点规划的核心环节，</w:t>
      </w:r>
      <w:r>
        <w:rPr>
          <w:rFonts w:hint="eastAsia" w:ascii="仿宋_GB2312" w:hAnsi="仿宋_GB2312" w:eastAsia="仿宋_GB2312" w:cs="仿宋_GB2312"/>
          <w:color w:val="auto"/>
          <w:sz w:val="32"/>
          <w:szCs w:val="32"/>
          <w:highlight w:val="none"/>
        </w:rPr>
        <w:t>承担中转站点的再生资源接收任务，</w:t>
      </w:r>
      <w:r>
        <w:rPr>
          <w:rFonts w:hint="eastAsia" w:ascii="仿宋_GB2312" w:hAnsi="仿宋_GB2312" w:eastAsia="仿宋_GB2312" w:cs="仿宋_GB2312"/>
          <w:color w:val="auto"/>
          <w:sz w:val="32"/>
          <w:szCs w:val="32"/>
          <w:highlight w:val="none"/>
          <w:lang w:val="en-US" w:eastAsia="zh-CN"/>
        </w:rPr>
        <w:t>主要依据</w:t>
      </w:r>
      <w:r>
        <w:rPr>
          <w:rFonts w:hint="eastAsia" w:ascii="仿宋_GB2312" w:hAnsi="仿宋_GB2312" w:eastAsia="仿宋_GB2312" w:cs="仿宋_GB2312"/>
          <w:color w:val="auto"/>
          <w:sz w:val="32"/>
          <w:szCs w:val="32"/>
          <w:highlight w:val="none"/>
        </w:rPr>
        <w:t>再生资源分类标准、品质状况</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采用现代化分拣技术、工艺和装备，</w:t>
      </w:r>
      <w:r>
        <w:rPr>
          <w:rFonts w:hint="eastAsia" w:ascii="仿宋_GB2312" w:hAnsi="仿宋_GB2312" w:eastAsia="仿宋_GB2312" w:cs="仿宋_GB2312"/>
          <w:color w:val="auto"/>
          <w:sz w:val="32"/>
          <w:szCs w:val="32"/>
          <w:highlight w:val="none"/>
        </w:rPr>
        <w:t>进行较为精细的分拣整理和加工，进行短期储存</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并实现与加工利用企业的有效对接</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按照清城区各镇（街道）地理位置和人口密度、各类再生资源的分拣要求以及特点，以物流覆盖不超过50公里的标准设置再生资源分拣中心。</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各再生资源分拣中心要建立回收处理台账和数据库，在“</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val="en-US" w:eastAsia="zh-CN"/>
        </w:rPr>
        <w:t>”注册，成为“互联网+再生资源”的重要参与方，以信息化的手段监控固废的产生、流向和无害化过程。</w:t>
      </w:r>
      <w:bookmarkStart w:id="306" w:name="_Toc22261"/>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0" w:firstLineChars="0"/>
        <w:jc w:val="center"/>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0"/>
          <w:szCs w:val="30"/>
          <w:highlight w:val="none"/>
          <w:lang w:val="en-US" w:eastAsia="zh-CN"/>
        </w:rPr>
        <w:t>图5 清城区“互联网+再生资源”</w:t>
      </w:r>
      <w:bookmarkEnd w:id="306"/>
      <w:r>
        <w:rPr>
          <w:rFonts w:hint="default"/>
          <w:color w:val="auto"/>
          <w:highlight w:val="none"/>
          <w:lang w:val="en-US" w:eastAsia="zh-CN"/>
        </w:rPr>
        <w:drawing>
          <wp:inline distT="0" distB="0" distL="114300" distR="114300">
            <wp:extent cx="5022215" cy="2346960"/>
            <wp:effectExtent l="0" t="0" r="6985" b="2540"/>
            <wp:docPr id="5" name="图片 12" descr="163101373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12" descr="1631013732(1)"/>
                    <pic:cNvPicPr>
                      <a:picLocks noChangeAspect="true"/>
                    </pic:cNvPicPr>
                  </pic:nvPicPr>
                  <pic:blipFill>
                    <a:blip r:embed="rId11"/>
                    <a:stretch>
                      <a:fillRect/>
                    </a:stretch>
                  </pic:blipFill>
                  <pic:spPr>
                    <a:xfrm>
                      <a:off x="0" y="0"/>
                      <a:ext cx="5022215" cy="2346960"/>
                    </a:xfrm>
                    <a:prstGeom prst="rect">
                      <a:avLst/>
                    </a:prstGeom>
                    <a:noFill/>
                    <a:ln>
                      <a:noFill/>
                    </a:ln>
                  </pic:spPr>
                </pic:pic>
              </a:graphicData>
            </a:graphic>
          </wp:inline>
        </w:drawing>
      </w:r>
      <w:bookmarkStart w:id="307" w:name="_Toc32408"/>
      <w:bookmarkStart w:id="308" w:name="_Toc26459"/>
      <w:bookmarkStart w:id="309" w:name="_Toc11527"/>
      <w:bookmarkStart w:id="310" w:name="_Toc19672"/>
      <w:bookmarkStart w:id="311" w:name="_Toc11131"/>
      <w:bookmarkStart w:id="312" w:name="_Toc21087"/>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313" w:name="_Toc32588"/>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四</w:t>
      </w:r>
      <w:r>
        <w:rPr>
          <w:rFonts w:hint="eastAsia" w:ascii="楷体_GB2312" w:hAnsi="楷体_GB2312" w:eastAsia="楷体_GB2312" w:cs="楷体_GB2312"/>
          <w:b w:val="0"/>
          <w:bCs w:val="0"/>
          <w:color w:val="auto"/>
          <w:sz w:val="32"/>
          <w:szCs w:val="32"/>
          <w:highlight w:val="none"/>
          <w:lang w:eastAsia="zh-CN"/>
        </w:rPr>
        <w:t>）综合利用基地</w:t>
      </w:r>
      <w:bookmarkEnd w:id="307"/>
      <w:bookmarkEnd w:id="308"/>
      <w:bookmarkEnd w:id="309"/>
      <w:bookmarkEnd w:id="310"/>
      <w:bookmarkEnd w:id="311"/>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园区</w:t>
      </w:r>
      <w:r>
        <w:rPr>
          <w:rFonts w:hint="eastAsia" w:ascii="楷体_GB2312" w:hAnsi="楷体_GB2312" w:eastAsia="楷体_GB2312" w:cs="楷体_GB2312"/>
          <w:b w:val="0"/>
          <w:bCs w:val="0"/>
          <w:color w:val="auto"/>
          <w:sz w:val="32"/>
          <w:szCs w:val="32"/>
          <w:highlight w:val="none"/>
          <w:lang w:eastAsia="zh-CN"/>
        </w:rPr>
        <w:t>）</w:t>
      </w:r>
      <w:bookmarkEnd w:id="312"/>
      <w:bookmarkEnd w:id="31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81" w:firstLineChars="213"/>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建设“</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val="en-US" w:eastAsia="zh-CN"/>
        </w:rPr>
        <w:t>”及展示中心、建设再生资源回收处理示范点。结合清城区再生资源产业发展现状，立足再生资源回收利用企业，在推动产业集群数字化转型的基础上，加强关键流程数据采集和应用分析能力，推动数据互联互通、业务协同与融合创新，匹配产业链下游灵活优化生产计划，提高产能利用率，提高产业链协作效率和供应链协同水平，优化资源配置，实现高效回收</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81" w:firstLineChars="213"/>
        <w:jc w:val="both"/>
        <w:textAlignment w:val="auto"/>
        <w:rPr>
          <w:rFonts w:hint="eastAsia" w:ascii="仿宋_GB2312" w:hAnsi="仿宋_GB2312" w:eastAsia="仿宋_GB2312" w:cs="仿宋_GB2312"/>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bookmarkStart w:id="314" w:name="_Toc11860"/>
      <w:bookmarkStart w:id="315" w:name="_Toc3126"/>
      <w:bookmarkStart w:id="316" w:name="_Toc3803"/>
      <w:bookmarkStart w:id="317" w:name="_Toc23835"/>
      <w:bookmarkStart w:id="318" w:name="_Toc21862"/>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bidi w:val="0"/>
        <w:jc w:val="both"/>
        <w:rPr>
          <w:rFonts w:hint="eastAsia"/>
          <w:color w:val="auto"/>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仿宋_GB2312" w:hAnsi="仿宋_GB2312" w:eastAsia="仿宋_GB2312" w:cs="仿宋_GB2312"/>
          <w:b/>
          <w:bCs/>
          <w:color w:val="auto"/>
          <w:sz w:val="32"/>
          <w:szCs w:val="32"/>
          <w:highlight w:val="none"/>
        </w:rPr>
      </w:pPr>
      <w:bookmarkStart w:id="319" w:name="_Toc13775"/>
      <w:bookmarkStart w:id="320" w:name="_Toc22673"/>
      <w:bookmarkStart w:id="321" w:name="_Toc30916"/>
      <w:bookmarkStart w:id="322" w:name="_Toc12983"/>
      <w:r>
        <w:rPr>
          <w:rFonts w:hint="eastAsia" w:ascii="黑体" w:hAnsi="黑体" w:eastAsia="黑体" w:cs="黑体"/>
          <w:color w:val="auto"/>
          <w:sz w:val="32"/>
          <w:szCs w:val="32"/>
          <w:highlight w:val="none"/>
        </w:rPr>
        <w:t>第四章  再生资源社区回收网点规划</w:t>
      </w:r>
      <w:bookmarkEnd w:id="314"/>
      <w:bookmarkEnd w:id="315"/>
      <w:bookmarkEnd w:id="316"/>
      <w:bookmarkEnd w:id="317"/>
      <w:bookmarkEnd w:id="318"/>
      <w:bookmarkEnd w:id="319"/>
      <w:bookmarkEnd w:id="320"/>
      <w:bookmarkEnd w:id="321"/>
      <w:bookmarkEnd w:id="322"/>
      <w:bookmarkStart w:id="323" w:name="_Toc22637"/>
      <w:bookmarkStart w:id="324" w:name="_Toc32417"/>
      <w:bookmarkStart w:id="325" w:name="_Toc3005"/>
      <w:bookmarkStart w:id="326" w:name="_Toc18402"/>
      <w:bookmarkStart w:id="327" w:name="_Toc12151"/>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328" w:name="_Toc2961"/>
      <w:bookmarkStart w:id="329" w:name="_Toc2655"/>
      <w:bookmarkStart w:id="330" w:name="_Toc24566"/>
      <w:bookmarkStart w:id="331" w:name="_Toc4961"/>
      <w:r>
        <w:rPr>
          <w:rFonts w:hint="eastAsia" w:ascii="黑体" w:hAnsi="黑体" w:eastAsia="黑体" w:cs="黑体"/>
          <w:b w:val="0"/>
          <w:bCs w:val="0"/>
          <w:color w:val="auto"/>
          <w:sz w:val="32"/>
          <w:szCs w:val="32"/>
          <w:highlight w:val="none"/>
          <w:lang w:val="en-US" w:eastAsia="zh-CN"/>
        </w:rPr>
        <w:t>一、生活性再生资源社区回收网点设置</w:t>
      </w:r>
      <w:bookmarkEnd w:id="323"/>
      <w:bookmarkEnd w:id="324"/>
      <w:bookmarkEnd w:id="325"/>
      <w:bookmarkEnd w:id="326"/>
      <w:bookmarkEnd w:id="327"/>
      <w:bookmarkEnd w:id="328"/>
      <w:bookmarkEnd w:id="329"/>
      <w:bookmarkEnd w:id="330"/>
      <w:bookmarkEnd w:id="331"/>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eastAsia="zh-CN"/>
        </w:rPr>
      </w:pPr>
      <w:bookmarkStart w:id="332" w:name="_Toc13191"/>
      <w:bookmarkStart w:id="333" w:name="_Toc6659"/>
      <w:bookmarkStart w:id="334" w:name="_Toc13385"/>
      <w:bookmarkStart w:id="335" w:name="_Toc26112"/>
      <w:bookmarkStart w:id="336" w:name="_Toc19154"/>
      <w:bookmarkStart w:id="337" w:name="_Toc10703"/>
      <w:bookmarkStart w:id="338" w:name="_Toc21214"/>
      <w:bookmarkStart w:id="339" w:name="_Toc28737"/>
      <w:bookmarkStart w:id="340" w:name="_Toc5525"/>
      <w:r>
        <w:rPr>
          <w:rFonts w:hint="eastAsia" w:ascii="楷体_GB2312" w:hAnsi="楷体_GB2312" w:eastAsia="楷体_GB2312" w:cs="楷体_GB2312"/>
          <w:b w:val="0"/>
          <w:bCs w:val="0"/>
          <w:color w:val="auto"/>
          <w:sz w:val="32"/>
          <w:szCs w:val="32"/>
          <w:highlight w:val="none"/>
          <w:lang w:val="en-US" w:eastAsia="zh-CN"/>
        </w:rPr>
        <w:t>（一）布局设计</w:t>
      </w:r>
      <w:r>
        <w:rPr>
          <w:rFonts w:hint="eastAsia" w:ascii="楷体_GB2312" w:hAnsi="楷体_GB2312" w:eastAsia="楷体_GB2312" w:cs="楷体_GB2312"/>
          <w:b w:val="0"/>
          <w:bCs w:val="0"/>
          <w:color w:val="auto"/>
          <w:sz w:val="32"/>
          <w:szCs w:val="32"/>
          <w:highlight w:val="none"/>
          <w:lang w:eastAsia="zh-CN"/>
        </w:rPr>
        <w:t> </w:t>
      </w:r>
      <w:bookmarkEnd w:id="332"/>
      <w:bookmarkEnd w:id="333"/>
      <w:bookmarkEnd w:id="334"/>
      <w:bookmarkEnd w:id="335"/>
      <w:bookmarkEnd w:id="336"/>
      <w:bookmarkEnd w:id="337"/>
      <w:bookmarkEnd w:id="338"/>
      <w:bookmarkEnd w:id="339"/>
      <w:bookmarkEnd w:id="340"/>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结合清城区中心城区、各镇（街道）以及自然村实际情况、规范管理难易程度，参考国内先进城市再生资源回收网点的管理经验，以及企业回收网点或个体回收站的设立和选址要求，可采用人工回收服务网点、人工回收服务和智能化回收服务复合网点以及智能化回收服务网点（再生资源智能化全品类回收箱）三轨并行的网点布局方案。原则上要实现自然村、大型社区或居委会回收网点全覆盖，并采用固定式社区回收网点与流动式社区回收网点+人工回收小工具车相结合方式，符合方便投放、便于回收、覆盖全区、规范管理的原则。</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1.区域广阔的自然村主要采用人工回收服务网点方式，按照“一村一点”原则进行设置，并采用流动式社区回收网点+人工回收小工具车。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2.城区按照每2000户居民设置1个社区回收网点，乡镇按照每2500户居民设置一个社区回收网点，每个社区回收网点面积10-15平方米，服务半径为500</w:t>
      </w:r>
      <w:r>
        <w:rPr>
          <w:rFonts w:hint="default" w:ascii="仿宋_GB2312" w:hAnsi="仿宋_GB2312" w:eastAsia="仿宋_GB2312" w:cs="仿宋_GB2312"/>
          <w:color w:val="auto"/>
          <w:sz w:val="32"/>
          <w:szCs w:val="32"/>
          <w:highlight w:val="none"/>
          <w:lang w:val="en" w:eastAsia="zh-CN"/>
        </w:rPr>
        <w:t>-</w:t>
      </w:r>
      <w:r>
        <w:rPr>
          <w:rFonts w:hint="eastAsia" w:ascii="仿宋_GB2312" w:hAnsi="仿宋_GB2312" w:eastAsia="仿宋_GB2312" w:cs="仿宋_GB2312"/>
          <w:color w:val="auto"/>
          <w:sz w:val="32"/>
          <w:szCs w:val="32"/>
          <w:highlight w:val="none"/>
          <w:lang w:val="en-US" w:eastAsia="zh-CN"/>
        </w:rPr>
        <w:t>1500米。人口密度较高、中青年人群占比大的企事业单位、城市商业综合体集中地主要采用智能化回收服务网点（再生资源智能化全品类回收箱），并采用固定式社区回收网点；人口密度较低、老年人和保洁人员群体较大的</w:t>
      </w:r>
      <w:r>
        <w:rPr>
          <w:rFonts w:hint="eastAsia" w:ascii="仿宋_GB2312" w:hAnsi="仿宋_GB2312" w:eastAsia="仿宋_GB2312" w:cs="仿宋_GB2312"/>
          <w:color w:val="auto"/>
          <w:sz w:val="32"/>
          <w:szCs w:val="32"/>
          <w:highlight w:val="none"/>
        </w:rPr>
        <w:t>居民区设置规范化的</w:t>
      </w:r>
      <w:r>
        <w:rPr>
          <w:rFonts w:hint="eastAsia" w:ascii="仿宋_GB2312" w:hAnsi="仿宋_GB2312" w:eastAsia="仿宋_GB2312" w:cs="仿宋_GB2312"/>
          <w:color w:val="auto"/>
          <w:sz w:val="32"/>
          <w:szCs w:val="32"/>
          <w:highlight w:val="none"/>
          <w:lang w:val="en-US" w:eastAsia="zh-CN"/>
        </w:rPr>
        <w:t>人工回收服务和智能化回收服务复合网点，并采用以固定式社区回收网点为主，流动式社区回收网点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人工回收小工具车为辅。</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341" w:name="_Toc21566"/>
      <w:bookmarkStart w:id="342" w:name="_Toc3683"/>
      <w:bookmarkStart w:id="343" w:name="_Toc27140"/>
      <w:bookmarkStart w:id="344" w:name="_Toc17728"/>
      <w:bookmarkStart w:id="345" w:name="_Toc13317"/>
      <w:bookmarkStart w:id="346" w:name="_Toc9178"/>
      <w:bookmarkStart w:id="347" w:name="_Toc27563"/>
      <w:bookmarkStart w:id="348" w:name="_Toc21918"/>
      <w:r>
        <w:rPr>
          <w:rFonts w:hint="eastAsia" w:ascii="楷体_GB2312" w:hAnsi="楷体_GB2312" w:eastAsia="楷体_GB2312" w:cs="楷体_GB2312"/>
          <w:b w:val="0"/>
          <w:bCs w:val="0"/>
          <w:color w:val="auto"/>
          <w:sz w:val="32"/>
          <w:szCs w:val="32"/>
          <w:highlight w:val="none"/>
          <w:lang w:val="en-US" w:eastAsia="zh-CN"/>
        </w:rPr>
        <w:t>（二）建设引导</w:t>
      </w:r>
      <w:bookmarkEnd w:id="341"/>
      <w:bookmarkEnd w:id="342"/>
      <w:bookmarkEnd w:id="343"/>
      <w:bookmarkEnd w:id="344"/>
      <w:bookmarkEnd w:id="345"/>
      <w:bookmarkEnd w:id="346"/>
      <w:bookmarkEnd w:id="347"/>
      <w:bookmarkEnd w:id="348"/>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再生资源社区回收网点的选址、消防标准、环保要求、市容环境卫生管理要求、回收经营管理要求、再生资源的收集、储存、运输、处理全过程管理要求，应按照《清远市再生资源回收管理暂行办法》执行。</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按照“场地要求”“设施要求”“经营要求”分类，</w:t>
      </w:r>
      <w:r>
        <w:rPr>
          <w:rFonts w:hint="eastAsia" w:ascii="仿宋_GB2312" w:hAnsi="仿宋_GB2312" w:eastAsia="仿宋_GB2312" w:cs="仿宋_GB2312"/>
          <w:color w:val="auto"/>
          <w:sz w:val="32"/>
          <w:szCs w:val="32"/>
          <w:highlight w:val="none"/>
          <w:lang w:val="en-US" w:eastAsia="zh-CN"/>
        </w:rPr>
        <w:t>生活性再生资源社区回收网点建设引导具体如下：</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before="313" w:beforeLines="100" w:line="360" w:lineRule="auto"/>
        <w:ind w:right="0" w:rightChars="0" w:firstLine="0" w:firstLineChars="0"/>
        <w:jc w:val="center"/>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表3 生活性再生资源社区回收网点建设引导规范</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747"/>
        <w:gridCol w:w="6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b/>
                <w:bCs/>
                <w:color w:val="auto"/>
                <w:sz w:val="28"/>
                <w:szCs w:val="28"/>
                <w:highlight w:val="none"/>
                <w:u w:val="none"/>
                <w:lang w:val="en-US" w:eastAsia="zh-CN"/>
              </w:rPr>
              <w:t>固定式社区回收网点</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场地要求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①回收网点场地面积应在10-15平方米，有稳固的场房，硬底化，不应露天堆放；</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②建设规范需要符合国家和地方标准，以符合环保、卫生、消防等各类相关要求为原则；</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③内部应悬挂回收的再生资源种类及价格表、服务公约以及公安部门禁止回收的物品名称。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设施要求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eastAsia="zh-CN"/>
              </w:rPr>
              <w:t>人工回收服务网点</w:t>
            </w:r>
            <w:r>
              <w:rPr>
                <w:rFonts w:hint="eastAsia" w:ascii="仿宋_GB2312" w:hAnsi="仿宋_GB2312" w:eastAsia="仿宋_GB2312" w:cs="仿宋_GB2312"/>
                <w:color w:val="auto"/>
                <w:sz w:val="28"/>
                <w:szCs w:val="28"/>
                <w:highlight w:val="none"/>
                <w:u w:val="none"/>
              </w:rPr>
              <w:t>需配置自动识别和数据联网的称重设备，并定期校准；</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u w:val="none"/>
                <w:lang w:eastAsia="zh-CN"/>
              </w:rPr>
              <w:t>智能化回收服务网点（再生资源智能化全品类回收箱）</w:t>
            </w:r>
            <w:r>
              <w:rPr>
                <w:rFonts w:hint="eastAsia" w:ascii="仿宋_GB2312" w:hAnsi="仿宋_GB2312" w:eastAsia="仿宋_GB2312" w:cs="仿宋_GB2312"/>
                <w:color w:val="auto"/>
                <w:sz w:val="28"/>
                <w:szCs w:val="28"/>
                <w:highlight w:val="none"/>
                <w:u w:val="none"/>
              </w:rPr>
              <w:t>需要确保回收系统正常运行，并</w:t>
            </w:r>
            <w:r>
              <w:rPr>
                <w:rFonts w:hint="eastAsia" w:ascii="仿宋_GB2312" w:hAnsi="仿宋_GB2312" w:eastAsia="仿宋_GB2312" w:cs="仿宋_GB2312"/>
                <w:color w:val="auto"/>
                <w:sz w:val="28"/>
                <w:szCs w:val="28"/>
                <w:highlight w:val="none"/>
                <w:u w:val="none"/>
                <w:lang w:val="en-US" w:eastAsia="zh-CN"/>
              </w:rPr>
              <w:t>定期</w:t>
            </w:r>
            <w:r>
              <w:rPr>
                <w:rFonts w:hint="eastAsia" w:ascii="仿宋_GB2312" w:hAnsi="仿宋_GB2312" w:eastAsia="仿宋_GB2312" w:cs="仿宋_GB2312"/>
                <w:color w:val="auto"/>
                <w:sz w:val="28"/>
                <w:szCs w:val="28"/>
                <w:highlight w:val="none"/>
                <w:u w:val="none"/>
              </w:rPr>
              <w:t>维护；回收系统需在前端的再生资源智能化全品类回收箱投放口设置智能识别设备，采用智能视觉模块及物体分类识别技术，辨别用户投递到回收终端的产品是否正确</w:t>
            </w:r>
            <w:r>
              <w:rPr>
                <w:rFonts w:hint="eastAsia" w:ascii="仿宋_GB2312" w:hAnsi="仿宋_GB2312" w:eastAsia="仿宋_GB2312" w:cs="仿宋_GB2312"/>
                <w:color w:val="auto"/>
                <w:sz w:val="28"/>
                <w:szCs w:val="28"/>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经营要求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从事再生资源回收经营活动，必须符合工商行政管理登记条件，工商注册登记后，方可从事经营活动；</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②严格遵守作业规范，统一计量</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统一价格、</w:t>
            </w:r>
            <w:r>
              <w:rPr>
                <w:rFonts w:hint="eastAsia" w:ascii="仿宋_GB2312" w:hAnsi="仿宋_GB2312" w:eastAsia="仿宋_GB2312" w:cs="仿宋_GB2312"/>
                <w:color w:val="auto"/>
                <w:sz w:val="28"/>
                <w:szCs w:val="28"/>
                <w:highlight w:val="none"/>
                <w:u w:val="none"/>
                <w:lang w:val="en-US" w:eastAsia="zh-CN"/>
              </w:rPr>
              <w:t>统一着装、</w:t>
            </w:r>
            <w:r>
              <w:rPr>
                <w:rFonts w:hint="eastAsia" w:ascii="仿宋_GB2312" w:hAnsi="仿宋_GB2312" w:eastAsia="仿宋_GB2312" w:cs="仿宋_GB2312"/>
                <w:color w:val="auto"/>
                <w:sz w:val="28"/>
                <w:szCs w:val="28"/>
                <w:highlight w:val="none"/>
                <w:u w:val="none"/>
              </w:rPr>
              <w:t>统一车辆</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统一管理；</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③作业活动符合安全卫生相关规定，不得占用回收网点外场地，</w:t>
            </w:r>
            <w:r>
              <w:rPr>
                <w:rFonts w:hint="eastAsia" w:ascii="仿宋_GB2312" w:hAnsi="仿宋_GB2312" w:eastAsia="仿宋_GB2312" w:cs="仿宋_GB2312"/>
                <w:color w:val="auto"/>
                <w:sz w:val="28"/>
                <w:szCs w:val="28"/>
                <w:highlight w:val="none"/>
                <w:u w:val="none"/>
                <w:lang w:eastAsia="zh-CN"/>
              </w:rPr>
              <w:t>不得有拆解、加工行为，防止二次污染发生</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④建立回收台账并定期上报。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112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b/>
                <w:bCs/>
                <w:color w:val="auto"/>
                <w:sz w:val="28"/>
                <w:szCs w:val="28"/>
                <w:highlight w:val="none"/>
                <w:lang w:val="en-US" w:eastAsia="zh-CN"/>
              </w:rPr>
              <w:t>流动式社区回收网点+人工回收小工具车</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lang w:val="en-US" w:eastAsia="zh-CN"/>
              </w:rPr>
              <w:t>设施要求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①人工回收小工具车应为封闭式，具备防雨功能，容积为1.1立方米左右；</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rPr>
              <w:t>②人工回收小工具车应统一车型、统一制作</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统一外观、统一标识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并进行编号管理。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trPr>
        <w:tc>
          <w:tcPr>
            <w:tcW w:w="112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vertAlign w:val="baseline"/>
                <w:lang w:eastAsia="zh-CN"/>
              </w:rPr>
            </w:pP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rPr>
              <w:t>经营要求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从事再生资源回收经营活动，必须符合工商行政管理登记条件，工商注册登记后，方可从事经营活动；</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rPr>
              <w:t>流动收运工作人员应统一着装，回收活动符合安全卫生相关规定；</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vertAlign w:val="baseline"/>
                <w:lang w:eastAsia="zh-CN"/>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rPr>
              <w:t>流动回收要求日收日清，建立回收台账并定期上报。</w:t>
            </w:r>
          </w:p>
        </w:tc>
      </w:tr>
    </w:tbl>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349" w:name="_Toc21129"/>
      <w:bookmarkStart w:id="350" w:name="_Toc9676"/>
      <w:bookmarkStart w:id="351" w:name="_Toc28960"/>
      <w:bookmarkStart w:id="352" w:name="_Toc14294"/>
      <w:bookmarkStart w:id="353" w:name="_Toc8400"/>
      <w:bookmarkStart w:id="354" w:name="_Toc7077"/>
      <w:bookmarkStart w:id="355" w:name="_Toc1858"/>
      <w:bookmarkStart w:id="356" w:name="_Toc3566"/>
      <w:bookmarkStart w:id="357" w:name="_Toc22441"/>
      <w:r>
        <w:rPr>
          <w:rFonts w:hint="eastAsia" w:ascii="黑体" w:hAnsi="黑体" w:eastAsia="黑体" w:cs="黑体"/>
          <w:b w:val="0"/>
          <w:bCs w:val="0"/>
          <w:color w:val="auto"/>
          <w:sz w:val="32"/>
          <w:szCs w:val="32"/>
          <w:highlight w:val="none"/>
          <w:lang w:val="en-US" w:eastAsia="zh-CN"/>
        </w:rPr>
        <w:t>二、生产性再生资源社区回收网点设置</w:t>
      </w:r>
      <w:bookmarkEnd w:id="349"/>
      <w:bookmarkEnd w:id="350"/>
      <w:bookmarkEnd w:id="351"/>
      <w:bookmarkEnd w:id="352"/>
      <w:bookmarkEnd w:id="353"/>
      <w:bookmarkEnd w:id="354"/>
      <w:bookmarkEnd w:id="355"/>
      <w:bookmarkEnd w:id="356"/>
      <w:bookmarkEnd w:id="357"/>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生产性再生资源社区回收网点与清城区产业分布和经济社会发展规划相适应，通过对工业企业聚集区回收站进行规划，与各类产废企业和产业园区建立战略合作关系，建立适合产业特点的回收模式。</w:t>
      </w:r>
      <w:bookmarkStart w:id="358" w:name="_Toc30982"/>
      <w:bookmarkStart w:id="359" w:name="_Toc26050"/>
      <w:bookmarkStart w:id="360" w:name="_Toc3908"/>
      <w:bookmarkStart w:id="361" w:name="_Toc6894"/>
      <w:bookmarkStart w:id="362" w:name="_Toc32761"/>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eastAsia" w:ascii="楷体_GB2312" w:hAnsi="楷体_GB2312" w:eastAsia="楷体_GB2312" w:cs="楷体_GB2312"/>
          <w:b w:val="0"/>
          <w:bCs w:val="0"/>
          <w:color w:val="auto"/>
          <w:sz w:val="32"/>
          <w:szCs w:val="32"/>
          <w:highlight w:val="none"/>
          <w:lang w:val="en-US" w:eastAsia="zh-CN"/>
        </w:rPr>
      </w:pPr>
      <w:bookmarkStart w:id="363" w:name="_Toc13865"/>
      <w:bookmarkStart w:id="364" w:name="_Toc1585"/>
      <w:bookmarkStart w:id="365" w:name="_Toc7099"/>
      <w:bookmarkStart w:id="366" w:name="_Toc26006"/>
      <w:r>
        <w:rPr>
          <w:rFonts w:hint="eastAsia" w:ascii="楷体_GB2312" w:hAnsi="楷体_GB2312" w:eastAsia="楷体_GB2312" w:cs="楷体_GB2312"/>
          <w:b w:val="0"/>
          <w:bCs w:val="0"/>
          <w:color w:val="auto"/>
          <w:sz w:val="32"/>
          <w:szCs w:val="32"/>
          <w:highlight w:val="none"/>
          <w:lang w:val="en-US" w:eastAsia="zh-CN"/>
        </w:rPr>
        <w:t>（一）布局设计</w:t>
      </w:r>
      <w:bookmarkEnd w:id="358"/>
      <w:bookmarkEnd w:id="359"/>
      <w:bookmarkEnd w:id="360"/>
      <w:bookmarkEnd w:id="361"/>
      <w:bookmarkEnd w:id="362"/>
      <w:bookmarkEnd w:id="363"/>
      <w:bookmarkEnd w:id="364"/>
      <w:bookmarkEnd w:id="365"/>
      <w:bookmarkEnd w:id="366"/>
    </w:p>
    <w:p>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生产性再生资源社区回收网点主要设立在工业企业聚集区，结合清城区各镇工业园区的企业集聚及发展情况，参考国内先进城市再生资源社区回收网点的管理经验进行布局设计。原则上要实现主要工业功能区生产性再生资源社会回收网点全覆盖。</w:t>
      </w:r>
      <w:bookmarkStart w:id="367" w:name="_Toc24882"/>
      <w:bookmarkStart w:id="368" w:name="_Toc5932"/>
      <w:bookmarkStart w:id="369" w:name="_Toc9446"/>
      <w:bookmarkStart w:id="370" w:name="_Toc564"/>
      <w:bookmarkStart w:id="371" w:name="_Toc27942"/>
      <w:bookmarkStart w:id="372" w:name="_Toc26541"/>
      <w:bookmarkStart w:id="373" w:name="_Toc16142"/>
      <w:bookmarkStart w:id="374" w:name="_Toc4417"/>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line="360" w:lineRule="auto"/>
        <w:ind w:firstLine="640" w:firstLineChars="200"/>
        <w:jc w:val="both"/>
        <w:textAlignment w:val="auto"/>
        <w:outlineLvl w:val="2"/>
        <w:rPr>
          <w:rFonts w:hint="default" w:ascii="楷体_GB2312" w:hAnsi="楷体_GB2312" w:eastAsia="楷体_GB2312" w:cs="楷体_GB2312"/>
          <w:b w:val="0"/>
          <w:bCs w:val="0"/>
          <w:color w:val="auto"/>
          <w:sz w:val="32"/>
          <w:szCs w:val="32"/>
          <w:highlight w:val="none"/>
          <w:lang w:val="en-US" w:eastAsia="zh-CN"/>
        </w:rPr>
      </w:pPr>
      <w:bookmarkStart w:id="375" w:name="_Toc22703"/>
      <w:r>
        <w:rPr>
          <w:rFonts w:hint="eastAsia" w:ascii="楷体_GB2312" w:hAnsi="楷体_GB2312" w:eastAsia="楷体_GB2312" w:cs="楷体_GB2312"/>
          <w:b w:val="0"/>
          <w:bCs w:val="0"/>
          <w:color w:val="auto"/>
          <w:sz w:val="32"/>
          <w:szCs w:val="32"/>
          <w:highlight w:val="none"/>
          <w:lang w:val="en-US" w:eastAsia="zh-CN"/>
        </w:rPr>
        <w:t>（二）建设引导</w:t>
      </w:r>
      <w:bookmarkEnd w:id="367"/>
      <w:bookmarkEnd w:id="368"/>
      <w:bookmarkEnd w:id="369"/>
      <w:bookmarkEnd w:id="370"/>
      <w:bookmarkEnd w:id="371"/>
      <w:bookmarkEnd w:id="372"/>
      <w:bookmarkEnd w:id="373"/>
      <w:bookmarkEnd w:id="374"/>
      <w:bookmarkEnd w:id="375"/>
      <w:r>
        <w:rPr>
          <w:rFonts w:hint="eastAsia" w:ascii="楷体_GB2312" w:hAnsi="楷体_GB2312" w:eastAsia="楷体_GB2312" w:cs="楷体_GB2312"/>
          <w:b w:val="0"/>
          <w:bCs w:val="0"/>
          <w:color w:val="auto"/>
          <w:sz w:val="32"/>
          <w:szCs w:val="32"/>
          <w:highlight w:val="none"/>
          <w:lang w:val="en-US" w:eastAsia="zh-CN"/>
        </w:rPr>
        <w:t xml:space="preserve">  </w:t>
      </w:r>
    </w:p>
    <w:p>
      <w:pPr>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按照“场地要求”“设施要求”“经营要求”分类，生产性再生资源社区回收网点</w:t>
      </w:r>
      <w:r>
        <w:rPr>
          <w:rFonts w:hint="eastAsia" w:ascii="仿宋_GB2312" w:hAnsi="仿宋_GB2312" w:eastAsia="仿宋_GB2312" w:cs="仿宋_GB2312"/>
          <w:color w:val="auto"/>
          <w:sz w:val="32"/>
          <w:szCs w:val="32"/>
          <w:highlight w:val="none"/>
          <w:lang w:val="en-US" w:eastAsia="zh-CN"/>
        </w:rPr>
        <w:t>建设引导具体如下：</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before="313" w:beforeLines="100" w:line="360" w:lineRule="auto"/>
        <w:ind w:right="0" w:rightChars="0" w:firstLine="0" w:firstLineChars="0"/>
        <w:jc w:val="center"/>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表4 生产性再生资源社区回收网点建设引导规范</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00"/>
        <w:gridCol w:w="6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b/>
                <w:bCs/>
                <w:color w:val="auto"/>
                <w:sz w:val="28"/>
                <w:szCs w:val="28"/>
                <w:highlight w:val="none"/>
                <w:lang w:val="en-US" w:eastAsia="zh-CN"/>
              </w:rPr>
              <w:t>生产性再生资源社区回收网点</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场地要求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①回收</w:t>
            </w:r>
            <w:r>
              <w:rPr>
                <w:rFonts w:hint="eastAsia" w:ascii="仿宋_GB2312" w:hAnsi="仿宋_GB2312" w:eastAsia="仿宋_GB2312" w:cs="仿宋_GB2312"/>
                <w:color w:val="auto"/>
                <w:sz w:val="28"/>
                <w:szCs w:val="28"/>
                <w:highlight w:val="none"/>
                <w:lang w:val="en-US" w:eastAsia="zh-CN"/>
              </w:rPr>
              <w:t>网点场地面积应在50平方米以上，有稳固的场房，硬底化，不应露天堆放</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②</w:t>
            </w:r>
            <w:r>
              <w:rPr>
                <w:rFonts w:hint="eastAsia" w:ascii="仿宋_GB2312" w:hAnsi="仿宋_GB2312" w:eastAsia="仿宋_GB2312" w:cs="仿宋_GB2312"/>
                <w:color w:val="auto"/>
                <w:sz w:val="28"/>
                <w:szCs w:val="28"/>
                <w:highlight w:val="none"/>
                <w:lang w:val="en-US" w:eastAsia="zh-CN"/>
              </w:rPr>
              <w:t>建设规范需要符合国家和地方标准，以符合环保、卫生、消防等各类相关要求为原则</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③</w:t>
            </w:r>
            <w:r>
              <w:rPr>
                <w:rFonts w:hint="eastAsia" w:ascii="仿宋_GB2312" w:hAnsi="仿宋_GB2312" w:eastAsia="仿宋_GB2312" w:cs="仿宋_GB2312"/>
                <w:color w:val="auto"/>
                <w:sz w:val="28"/>
                <w:szCs w:val="28"/>
                <w:highlight w:val="none"/>
                <w:lang w:val="en-US" w:eastAsia="zh-CN"/>
              </w:rPr>
              <w:t>内部应悬挂回收的再生资源种类及价格表、服务公约以及公安部门禁止回收的物品名称</w:t>
            </w:r>
            <w:r>
              <w:rPr>
                <w:rFonts w:hint="eastAsia" w:ascii="仿宋_GB2312" w:hAnsi="仿宋_GB2312" w:eastAsia="仿宋_GB2312" w:cs="仿宋_GB2312"/>
                <w:color w:val="auto"/>
                <w:sz w:val="28"/>
                <w:szCs w:val="28"/>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设施要求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lang w:val="en-US" w:eastAsia="zh-CN"/>
              </w:rPr>
              <w:t>场所需配置称重设备，并定期校准</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需配置密封式大型收运车辆，并配置人工回收小工具车，统一外观、统一车型、统一标识。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经营要求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从事再生资源回收经营活动，必须符合工商行政管理登记条件，工商注册登记后，方可从事经营活动；</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严格遵守作业规范，统一价格、统一计量、统一车辆、统一管理</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lang w:val="en-US" w:eastAsia="zh-CN"/>
              </w:rPr>
              <w:t>实行线上或电话预约、上门收购服务方式，工作人员应统一着装，回收活动符合安全卫生相关规定</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作业活动符合安全卫生相关规定，不得占用回收网点外场地，不得有拆解、加工行为，防止二次污染发生；</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⑤</w:t>
            </w:r>
            <w:r>
              <w:rPr>
                <w:rFonts w:hint="eastAsia" w:ascii="仿宋_GB2312" w:hAnsi="仿宋_GB2312" w:eastAsia="仿宋_GB2312" w:cs="仿宋_GB2312"/>
                <w:color w:val="auto"/>
                <w:sz w:val="28"/>
                <w:szCs w:val="28"/>
                <w:highlight w:val="none"/>
                <w:lang w:val="en-US" w:eastAsia="zh-CN"/>
              </w:rPr>
              <w:t>建立安全责任制，回收网点主要负责人为第一责任人，发生重大责任事故，要追究其责任；</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lang w:val="en-US" w:eastAsia="zh-CN"/>
              </w:rPr>
              <w:t>⑥建立回收台账并定期上报。</w:t>
            </w:r>
          </w:p>
        </w:tc>
      </w:tr>
    </w:tbl>
    <w:p>
      <w:pPr>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黑体" w:hAnsi="黑体" w:eastAsia="黑体" w:cs="黑体"/>
          <w:color w:val="auto"/>
          <w:sz w:val="28"/>
          <w:szCs w:val="28"/>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eastAsia" w:ascii="黑体" w:hAnsi="黑体" w:eastAsia="黑体" w:cs="黑体"/>
          <w:color w:val="auto"/>
          <w:sz w:val="32"/>
          <w:szCs w:val="32"/>
          <w:highlight w:val="none"/>
        </w:rPr>
      </w:pPr>
      <w:bookmarkStart w:id="376" w:name="_Toc24126"/>
      <w:bookmarkStart w:id="377" w:name="_Toc26754"/>
      <w:bookmarkStart w:id="378" w:name="_Toc3471"/>
      <w:bookmarkStart w:id="379" w:name="_Toc27538"/>
      <w:bookmarkStart w:id="380" w:name="_Toc21997"/>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仿宋_GB2312" w:hAnsi="仿宋_GB2312" w:eastAsia="仿宋_GB2312" w:cs="仿宋_GB2312"/>
          <w:b/>
          <w:bCs/>
          <w:color w:val="auto"/>
          <w:sz w:val="32"/>
          <w:szCs w:val="32"/>
          <w:highlight w:val="none"/>
        </w:rPr>
      </w:pPr>
      <w:bookmarkStart w:id="381" w:name="_Toc17525"/>
      <w:bookmarkStart w:id="382" w:name="_Toc2772"/>
      <w:bookmarkStart w:id="383" w:name="_Toc21111"/>
      <w:bookmarkStart w:id="384" w:name="_Toc28686"/>
      <w:r>
        <w:rPr>
          <w:rFonts w:hint="eastAsia" w:ascii="黑体" w:hAnsi="黑体" w:eastAsia="黑体" w:cs="黑体"/>
          <w:color w:val="auto"/>
          <w:sz w:val="32"/>
          <w:szCs w:val="32"/>
          <w:highlight w:val="none"/>
        </w:rPr>
        <w:t>第五章  再生资源中转站规划</w:t>
      </w:r>
      <w:bookmarkEnd w:id="376"/>
      <w:bookmarkEnd w:id="377"/>
      <w:bookmarkEnd w:id="378"/>
      <w:bookmarkEnd w:id="379"/>
      <w:bookmarkEnd w:id="380"/>
      <w:bookmarkEnd w:id="381"/>
      <w:bookmarkEnd w:id="382"/>
      <w:bookmarkEnd w:id="383"/>
      <w:bookmarkEnd w:id="384"/>
      <w:bookmarkStart w:id="385" w:name="_Toc16219"/>
      <w:bookmarkStart w:id="386" w:name="_Toc9751"/>
      <w:bookmarkStart w:id="387" w:name="_Toc20620"/>
      <w:bookmarkStart w:id="388" w:name="_Toc26491"/>
      <w:bookmarkStart w:id="389" w:name="_Toc18081"/>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390" w:name="_Toc4420"/>
      <w:bookmarkStart w:id="391" w:name="_Toc7203"/>
      <w:bookmarkStart w:id="392" w:name="_Toc11987"/>
      <w:bookmarkStart w:id="393" w:name="_Toc11883"/>
      <w:r>
        <w:rPr>
          <w:rFonts w:hint="eastAsia" w:ascii="黑体" w:hAnsi="黑体" w:eastAsia="黑体" w:cs="黑体"/>
          <w:b w:val="0"/>
          <w:bCs w:val="0"/>
          <w:color w:val="auto"/>
          <w:sz w:val="32"/>
          <w:szCs w:val="32"/>
          <w:highlight w:val="none"/>
          <w:lang w:val="en-US" w:eastAsia="zh-CN"/>
        </w:rPr>
        <w:t>一、布局设计</w:t>
      </w:r>
      <w:bookmarkEnd w:id="385"/>
      <w:bookmarkEnd w:id="386"/>
      <w:bookmarkEnd w:id="387"/>
      <w:bookmarkEnd w:id="388"/>
      <w:bookmarkEnd w:id="389"/>
      <w:bookmarkEnd w:id="390"/>
      <w:bookmarkEnd w:id="391"/>
      <w:bookmarkEnd w:id="392"/>
      <w:bookmarkEnd w:id="39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bookmarkStart w:id="394" w:name="_Toc18021"/>
      <w:bookmarkStart w:id="395" w:name="_Toc9518"/>
      <w:bookmarkStart w:id="396" w:name="_Toc7784"/>
      <w:bookmarkStart w:id="397" w:name="_Toc10508"/>
      <w:bookmarkStart w:id="398" w:name="_Toc19526"/>
      <w:r>
        <w:rPr>
          <w:rFonts w:hint="eastAsia" w:ascii="仿宋_GB2312" w:hAnsi="仿宋_GB2312" w:eastAsia="仿宋_GB2312" w:cs="仿宋_GB2312"/>
          <w:color w:val="auto"/>
          <w:sz w:val="32"/>
          <w:szCs w:val="32"/>
          <w:highlight w:val="none"/>
          <w:lang w:val="en-US" w:eastAsia="zh-CN"/>
        </w:rPr>
        <w:t>中转站是再生资源回收网点体系的纽带环节，按区域经济和人口发展需求，必要时结合实际，依托生活垃圾分类收运体系设置中转站。确有需要设置的，以下述“建设引导”为指导，达到科学布局、安全环保、规范管理目标。</w:t>
      </w:r>
    </w:p>
    <w:bookmarkEnd w:id="394"/>
    <w:bookmarkEnd w:id="395"/>
    <w:bookmarkEnd w:id="396"/>
    <w:bookmarkEnd w:id="397"/>
    <w:bookmarkEnd w:id="398"/>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399" w:name="_Toc24064"/>
      <w:bookmarkStart w:id="400" w:name="_Toc3750"/>
      <w:bookmarkStart w:id="401" w:name="_Toc21020"/>
      <w:bookmarkStart w:id="402" w:name="_Toc31105"/>
      <w:bookmarkStart w:id="403" w:name="_Toc3599"/>
      <w:bookmarkStart w:id="404" w:name="_Toc32711"/>
      <w:bookmarkStart w:id="405" w:name="_Toc13266"/>
      <w:bookmarkStart w:id="406" w:name="_Toc8228"/>
      <w:bookmarkStart w:id="407" w:name="_Toc4724"/>
      <w:r>
        <w:rPr>
          <w:rFonts w:hint="eastAsia" w:ascii="黑体" w:hAnsi="黑体" w:eastAsia="黑体" w:cs="黑体"/>
          <w:b w:val="0"/>
          <w:bCs w:val="0"/>
          <w:color w:val="auto"/>
          <w:sz w:val="32"/>
          <w:szCs w:val="32"/>
          <w:highlight w:val="none"/>
          <w:lang w:val="en-US" w:eastAsia="zh-CN"/>
        </w:rPr>
        <w:t>二、建设引导</w:t>
      </w:r>
      <w:bookmarkEnd w:id="399"/>
      <w:bookmarkEnd w:id="400"/>
      <w:bookmarkEnd w:id="401"/>
      <w:bookmarkEnd w:id="402"/>
      <w:bookmarkEnd w:id="403"/>
      <w:bookmarkEnd w:id="404"/>
      <w:bookmarkEnd w:id="405"/>
      <w:bookmarkEnd w:id="406"/>
      <w:bookmarkEnd w:id="407"/>
    </w:p>
    <w:p>
      <w:pPr>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按照“场地要求”“设施要求”“经营要求”分类，清城区再生资源中转站</w:t>
      </w:r>
      <w:r>
        <w:rPr>
          <w:rFonts w:hint="eastAsia" w:ascii="仿宋_GB2312" w:hAnsi="仿宋_GB2312" w:eastAsia="仿宋_GB2312" w:cs="仿宋_GB2312"/>
          <w:color w:val="auto"/>
          <w:sz w:val="32"/>
          <w:szCs w:val="32"/>
          <w:highlight w:val="none"/>
          <w:lang w:val="en-US" w:eastAsia="zh-CN"/>
        </w:rPr>
        <w:t>建设引导具体如下：</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before="313" w:beforeLines="100" w:line="360" w:lineRule="auto"/>
        <w:ind w:right="0" w:rightChars="0" w:firstLine="0" w:firstLineChars="0"/>
        <w:jc w:val="center"/>
        <w:textAlignment w:val="auto"/>
        <w:rPr>
          <w:rFonts w:hint="eastAsia" w:ascii="仿宋_GB2312" w:hAnsi="仿宋_GB2312" w:eastAsia="仿宋_GB2312" w:cs="仿宋_GB2312"/>
          <w:b/>
          <w:bCs/>
          <w:color w:val="auto"/>
          <w:sz w:val="30"/>
          <w:szCs w:val="30"/>
          <w:highlight w:val="none"/>
          <w:lang w:val="en-US" w:eastAsia="zh-CN"/>
        </w:rPr>
      </w:pPr>
      <w:bookmarkStart w:id="408" w:name="_Toc7676"/>
      <w:bookmarkStart w:id="409" w:name="_Toc4508"/>
      <w:bookmarkStart w:id="410" w:name="_Toc28503"/>
      <w:bookmarkStart w:id="411" w:name="_Toc16772"/>
      <w:bookmarkStart w:id="412" w:name="_Toc16622"/>
      <w:r>
        <w:rPr>
          <w:rFonts w:hint="eastAsia" w:ascii="仿宋_GB2312" w:hAnsi="仿宋_GB2312" w:eastAsia="仿宋_GB2312" w:cs="仿宋_GB2312"/>
          <w:b/>
          <w:bCs/>
          <w:color w:val="auto"/>
          <w:sz w:val="30"/>
          <w:szCs w:val="30"/>
          <w:highlight w:val="none"/>
          <w:lang w:val="en-US" w:eastAsia="zh-CN"/>
        </w:rPr>
        <w:t>表5 清城区再生资源中转站建设引导规范</w:t>
      </w:r>
      <w:bookmarkEnd w:id="408"/>
      <w:bookmarkEnd w:id="409"/>
      <w:bookmarkEnd w:id="410"/>
      <w:bookmarkEnd w:id="411"/>
      <w:bookmarkEnd w:id="412"/>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00"/>
        <w:gridCol w:w="6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b/>
                <w:bCs/>
                <w:color w:val="auto"/>
                <w:sz w:val="28"/>
                <w:szCs w:val="28"/>
                <w:highlight w:val="none"/>
                <w:lang w:val="en-US" w:eastAsia="zh-CN"/>
              </w:rPr>
              <w:t>清城区再生资源中转站</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场地要求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①</w:t>
            </w:r>
            <w:r>
              <w:rPr>
                <w:rFonts w:hint="eastAsia" w:ascii="仿宋_GB2312" w:hAnsi="仿宋_GB2312" w:eastAsia="仿宋_GB2312" w:cs="仿宋_GB2312"/>
                <w:color w:val="auto"/>
                <w:sz w:val="28"/>
                <w:szCs w:val="28"/>
                <w:highlight w:val="none"/>
                <w:lang w:val="en-US" w:eastAsia="zh-CN"/>
              </w:rPr>
              <w:t>场地面积应在100平方米以上，有稳固的厂房，硬底化，不应露天堆放，并满足通风采光要求，同时内部应划分</w:t>
            </w:r>
            <w:r>
              <w:rPr>
                <w:rFonts w:hint="eastAsia" w:ascii="仿宋_GB2312" w:hAnsi="仿宋_GB2312" w:eastAsia="仿宋_GB2312" w:cs="仿宋_GB2312"/>
                <w:color w:val="auto"/>
                <w:sz w:val="28"/>
                <w:szCs w:val="28"/>
                <w:highlight w:val="none"/>
              </w:rPr>
              <w:t>贮区、作业区</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②</w:t>
            </w:r>
            <w:r>
              <w:rPr>
                <w:rFonts w:hint="eastAsia" w:ascii="仿宋_GB2312" w:hAnsi="仿宋_GB2312" w:eastAsia="仿宋_GB2312" w:cs="仿宋_GB2312"/>
                <w:color w:val="auto"/>
                <w:sz w:val="28"/>
                <w:szCs w:val="28"/>
                <w:highlight w:val="none"/>
                <w:lang w:val="en-US" w:eastAsia="zh-CN"/>
              </w:rPr>
              <w:t>建设规范需要符合国家和地方标准，以符合环保、排污、卫生、消防等各类相关要求为原则</w:t>
            </w:r>
            <w:r>
              <w:rPr>
                <w:rFonts w:hint="eastAsia" w:ascii="仿宋_GB2312" w:hAnsi="仿宋_GB2312" w:eastAsia="仿宋_GB2312" w:cs="仿宋_GB2312"/>
                <w:color w:val="auto"/>
                <w:sz w:val="28"/>
                <w:szCs w:val="28"/>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设施要求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lang w:val="en-US" w:eastAsia="zh-CN"/>
              </w:rPr>
              <w:t>应配备干粉灭火器，灭火器的规格和数量必须符合有关消防规定，并依法取得消防验收和备案；</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应具备防止地面水、雨水及地下水流入、渗透的装置，达到环保要求；</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lang w:val="en-US" w:eastAsia="zh-CN"/>
              </w:rPr>
              <w:t>应建立与分拣中心环节的运输设施体系，配备大型封闭式运输设备，并统一标识、统一编号。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经营要求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符合《清远市“三线一单”生态环境分区管控方案》要求、《清城区招商项目准入管理暂行办法》要求；</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中转站以短期储存再生资源社区回收网点的再生资源为主</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lang w:val="en-US" w:eastAsia="zh-CN"/>
              </w:rPr>
              <w:t>作业活动符合安全卫生相关规定，不得占用中转站外场地，不得有拆解、加工行为，防止二次污染发生</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站内再生资源应按不同类别储存、堆放整齐；</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⑤</w:t>
            </w:r>
            <w:r>
              <w:rPr>
                <w:rFonts w:hint="eastAsia" w:ascii="仿宋_GB2312" w:hAnsi="仿宋_GB2312" w:eastAsia="仿宋_GB2312" w:cs="仿宋_GB2312"/>
                <w:color w:val="auto"/>
                <w:sz w:val="28"/>
                <w:szCs w:val="28"/>
                <w:highlight w:val="none"/>
                <w:lang w:val="en-US" w:eastAsia="zh-CN"/>
              </w:rPr>
              <w:t>从业人员应接受岗位知识、技能培训等，培训合格后方可上岗；</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⑥</w:t>
            </w:r>
            <w:r>
              <w:rPr>
                <w:rFonts w:hint="eastAsia" w:ascii="仿宋_GB2312" w:hAnsi="仿宋_GB2312" w:eastAsia="仿宋_GB2312" w:cs="仿宋_GB2312"/>
                <w:color w:val="auto"/>
                <w:sz w:val="28"/>
                <w:szCs w:val="28"/>
                <w:highlight w:val="none"/>
                <w:lang w:val="en-US" w:eastAsia="zh-CN"/>
              </w:rPr>
              <w:t>应建立安全责任制，中转站主要负责人为第一责任人，发生重大责任事故，要追究其责任；</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lang w:val="en-US" w:eastAsia="zh-CN"/>
              </w:rPr>
              <w:t>⑦建立收运台账并定期上报。</w:t>
            </w:r>
          </w:p>
        </w:tc>
      </w:tr>
    </w:tbl>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仿宋_GB2312" w:hAnsi="仿宋_GB2312" w:eastAsia="仿宋_GB2312" w:cs="仿宋_GB2312"/>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bookmarkStart w:id="413" w:name="_Toc10596"/>
      <w:bookmarkStart w:id="414" w:name="_Toc16951"/>
      <w:bookmarkStart w:id="415" w:name="_Toc28882"/>
      <w:bookmarkStart w:id="416" w:name="_Toc30405"/>
      <w:bookmarkStart w:id="417" w:name="_Toc23817"/>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黑体" w:hAnsi="黑体" w:eastAsia="黑体" w:cs="黑体"/>
          <w:b w:val="0"/>
          <w:bCs w:val="0"/>
          <w:color w:val="auto"/>
          <w:sz w:val="32"/>
          <w:szCs w:val="32"/>
          <w:highlight w:val="none"/>
        </w:rPr>
      </w:pPr>
      <w:bookmarkStart w:id="418" w:name="_Toc19201"/>
      <w:bookmarkStart w:id="419" w:name="_Toc12554"/>
      <w:bookmarkStart w:id="420" w:name="_Toc3398"/>
      <w:bookmarkStart w:id="421" w:name="_Toc15453"/>
      <w:r>
        <w:rPr>
          <w:rFonts w:hint="eastAsia" w:ascii="黑体" w:hAnsi="黑体" w:eastAsia="黑体" w:cs="黑体"/>
          <w:b w:val="0"/>
          <w:bCs w:val="0"/>
          <w:color w:val="auto"/>
          <w:sz w:val="32"/>
          <w:szCs w:val="32"/>
          <w:highlight w:val="none"/>
        </w:rPr>
        <w:t>第六章  再生资源分拣中心规划</w:t>
      </w:r>
      <w:bookmarkEnd w:id="413"/>
      <w:bookmarkEnd w:id="414"/>
      <w:bookmarkEnd w:id="415"/>
      <w:bookmarkEnd w:id="416"/>
      <w:bookmarkEnd w:id="417"/>
      <w:bookmarkEnd w:id="418"/>
      <w:bookmarkEnd w:id="419"/>
      <w:bookmarkEnd w:id="420"/>
      <w:bookmarkEnd w:id="421"/>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分拣中心</w:t>
      </w:r>
      <w:r>
        <w:rPr>
          <w:rFonts w:hint="eastAsia" w:ascii="仿宋_GB2312" w:hAnsi="仿宋_GB2312" w:eastAsia="仿宋_GB2312" w:cs="仿宋_GB2312"/>
          <w:color w:val="auto"/>
          <w:sz w:val="32"/>
          <w:szCs w:val="32"/>
          <w:highlight w:val="none"/>
          <w:lang w:val="en-US" w:eastAsia="zh-CN"/>
        </w:rPr>
        <w:t>是再生资源回收网点规划的核心环节，</w:t>
      </w:r>
      <w:r>
        <w:rPr>
          <w:rFonts w:hint="eastAsia" w:ascii="仿宋_GB2312" w:hAnsi="仿宋_GB2312" w:eastAsia="仿宋_GB2312" w:cs="仿宋_GB2312"/>
          <w:color w:val="auto"/>
          <w:sz w:val="32"/>
          <w:szCs w:val="32"/>
          <w:highlight w:val="none"/>
        </w:rPr>
        <w:t>承担中转站的再生资源接收任务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具有回收和供应的双重职能，分拣中心的设置根据体系发展规划，以规模化为目标，合理布局。</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422" w:name="_Toc10257"/>
      <w:bookmarkStart w:id="423" w:name="_Toc13559"/>
      <w:bookmarkStart w:id="424" w:name="_Toc11212"/>
      <w:bookmarkStart w:id="425" w:name="_Toc28117"/>
      <w:bookmarkStart w:id="426" w:name="_Toc26338"/>
      <w:bookmarkStart w:id="427" w:name="_Toc17781"/>
      <w:r>
        <w:rPr>
          <w:rFonts w:hint="eastAsia" w:ascii="黑体" w:hAnsi="黑体" w:eastAsia="黑体" w:cs="黑体"/>
          <w:b w:val="0"/>
          <w:bCs w:val="0"/>
          <w:color w:val="auto"/>
          <w:sz w:val="32"/>
          <w:szCs w:val="32"/>
          <w:highlight w:val="none"/>
          <w:lang w:val="en-US" w:eastAsia="zh-CN"/>
        </w:rPr>
        <w:t>一、布局设计</w:t>
      </w:r>
      <w:bookmarkEnd w:id="422"/>
      <w:bookmarkEnd w:id="423"/>
      <w:bookmarkEnd w:id="424"/>
      <w:bookmarkEnd w:id="425"/>
      <w:bookmarkEnd w:id="426"/>
      <w:bookmarkEnd w:id="427"/>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按照清城区各镇以及街道地理位置，以及总量控制、规模准入、功能完善等原则，以物流覆盖不超过50公里的标准设置再生资源分拣中心。</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目前清城区再生资源回收体量尚与国内先进城市存在较大差距的实际情况，为集约资源和提高效率，每个再生资源分拣中心均设置为综合型分拣中心，在包括废纸、废塑料、废钢铁、废铜铝等主要再生资源基础上，应同时包括1-2种其他非主要再生资源（废木质、废玻璃等）。</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428" w:name="_Toc20797"/>
      <w:bookmarkStart w:id="429" w:name="_Toc12082"/>
      <w:bookmarkStart w:id="430" w:name="_Toc11477"/>
      <w:bookmarkStart w:id="431" w:name="_Toc4589"/>
      <w:bookmarkStart w:id="432" w:name="_Toc25424"/>
      <w:bookmarkStart w:id="433" w:name="_Toc28321"/>
      <w:r>
        <w:rPr>
          <w:rFonts w:hint="eastAsia" w:ascii="黑体" w:hAnsi="黑体" w:eastAsia="黑体" w:cs="黑体"/>
          <w:b w:val="0"/>
          <w:bCs w:val="0"/>
          <w:color w:val="auto"/>
          <w:sz w:val="32"/>
          <w:szCs w:val="32"/>
          <w:highlight w:val="none"/>
          <w:lang w:val="en-US" w:eastAsia="zh-CN"/>
        </w:rPr>
        <w:t>二、建设引导</w:t>
      </w:r>
      <w:bookmarkEnd w:id="428"/>
      <w:bookmarkEnd w:id="429"/>
      <w:bookmarkEnd w:id="430"/>
      <w:bookmarkEnd w:id="431"/>
      <w:bookmarkEnd w:id="432"/>
      <w:bookmarkEnd w:id="43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按照“场地要求”“设施要求”“管理要求”分类，清城区再生资源分拣中心</w:t>
      </w:r>
      <w:r>
        <w:rPr>
          <w:rFonts w:hint="eastAsia" w:ascii="仿宋_GB2312" w:hAnsi="仿宋_GB2312" w:eastAsia="仿宋_GB2312" w:cs="仿宋_GB2312"/>
          <w:color w:val="auto"/>
          <w:sz w:val="32"/>
          <w:szCs w:val="32"/>
          <w:highlight w:val="none"/>
          <w:lang w:val="en-US" w:eastAsia="zh-CN"/>
        </w:rPr>
        <w:t>建设引导具体如下：</w:t>
      </w:r>
      <w:bookmarkStart w:id="434" w:name="_Toc18781"/>
      <w:bookmarkStart w:id="435" w:name="_Toc32585"/>
      <w:bookmarkStart w:id="436" w:name="_Toc2064"/>
      <w:bookmarkStart w:id="437" w:name="_Toc12115"/>
      <w:bookmarkStart w:id="438" w:name="_Toc25771"/>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0" w:firstLineChars="0"/>
        <w:jc w:val="both"/>
        <w:textAlignment w:val="auto"/>
        <w:rPr>
          <w:rFonts w:hint="eastAsia" w:ascii="仿宋_GB2312" w:hAnsi="仿宋_GB2312" w:eastAsia="仿宋_GB2312" w:cs="仿宋_GB2312"/>
          <w:b/>
          <w:bCs/>
          <w:color w:val="auto"/>
          <w:sz w:val="30"/>
          <w:szCs w:val="30"/>
          <w:highlight w:val="none"/>
          <w:lang w:val="en-US" w:eastAsia="zh-CN"/>
        </w:rPr>
      </w:pP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before="313" w:beforeLines="100" w:line="360" w:lineRule="auto"/>
        <w:ind w:right="0" w:rightChars="0" w:firstLine="0" w:firstLineChars="0"/>
        <w:jc w:val="center"/>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表6 清城区再生资源分拣中心建设引导规范</w:t>
      </w:r>
      <w:bookmarkEnd w:id="434"/>
      <w:bookmarkEnd w:id="435"/>
      <w:bookmarkEnd w:id="436"/>
      <w:bookmarkEnd w:id="437"/>
      <w:bookmarkEnd w:id="438"/>
    </w:p>
    <w:tbl>
      <w:tblPr>
        <w:tblStyle w:val="10"/>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00"/>
        <w:gridCol w:w="7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7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b/>
                <w:bCs/>
                <w:color w:val="auto"/>
                <w:sz w:val="28"/>
                <w:szCs w:val="28"/>
                <w:highlight w:val="none"/>
                <w:lang w:val="en-US" w:eastAsia="zh-CN"/>
              </w:rPr>
              <w:t>清城区再生资源分拣中心</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场地要求</w:t>
            </w:r>
          </w:p>
        </w:tc>
        <w:tc>
          <w:tcPr>
            <w:tcW w:w="7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①</w:t>
            </w:r>
            <w:r>
              <w:rPr>
                <w:rFonts w:hint="eastAsia" w:ascii="仿宋_GB2312" w:hAnsi="仿宋_GB2312" w:eastAsia="仿宋_GB2312" w:cs="仿宋_GB2312"/>
                <w:color w:val="auto"/>
                <w:sz w:val="28"/>
                <w:szCs w:val="28"/>
                <w:highlight w:val="none"/>
                <w:lang w:val="en-US" w:eastAsia="zh-CN"/>
              </w:rPr>
              <w:t>场地应建有标准厂房，各专业生产线地面应作防水、防渗透处理，有特殊要求的地面应作防腐蚀处理，一般地面应为混凝土地面</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②</w:t>
            </w:r>
            <w:r>
              <w:rPr>
                <w:rFonts w:hint="eastAsia" w:ascii="仿宋_GB2312" w:hAnsi="仿宋_GB2312" w:eastAsia="仿宋_GB2312" w:cs="仿宋_GB2312"/>
                <w:color w:val="auto"/>
                <w:sz w:val="28"/>
                <w:szCs w:val="28"/>
                <w:highlight w:val="none"/>
                <w:lang w:val="en-US" w:eastAsia="zh-CN"/>
              </w:rPr>
              <w:t>平面布局应按照功能分区、分块布置。建设用地应遵守科学合理、节约用地的原则，作业场所、公办管理区距离应符合安全防护要求，中间应用绿化带隔离</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③</w:t>
            </w:r>
            <w:r>
              <w:rPr>
                <w:rFonts w:hint="eastAsia" w:ascii="仿宋_GB2312" w:hAnsi="仿宋_GB2312" w:eastAsia="仿宋_GB2312" w:cs="仿宋_GB2312"/>
                <w:color w:val="auto"/>
                <w:sz w:val="28"/>
                <w:szCs w:val="28"/>
                <w:highlight w:val="none"/>
                <w:lang w:val="en-US" w:eastAsia="zh-CN"/>
              </w:rPr>
              <w:t>建设规范需要符合国家和地方标准，以符合环保、排污、卫生、消防等各类相关要求为原则</w:t>
            </w:r>
            <w:r>
              <w:rPr>
                <w:rFonts w:hint="eastAsia" w:ascii="仿宋_GB2312" w:hAnsi="仿宋_GB2312" w:eastAsia="仿宋_GB2312" w:cs="仿宋_GB2312"/>
                <w:color w:val="auto"/>
                <w:sz w:val="28"/>
                <w:szCs w:val="28"/>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设施要求</w:t>
            </w:r>
          </w:p>
        </w:tc>
        <w:tc>
          <w:tcPr>
            <w:tcW w:w="7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lang w:val="en-US" w:eastAsia="zh-CN"/>
              </w:rPr>
              <w:t>应具备与再生资源处理类别、处理能力相适应的设备</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配套工程应与各功能相适应，应能满足全天候安全作业，达到消防、卫生、环保的相关要求。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经营要求</w:t>
            </w:r>
          </w:p>
        </w:tc>
        <w:tc>
          <w:tcPr>
            <w:tcW w:w="7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项目须符合《清远市“三线一单”生态环境分区管控方案》《清城区招商项目准入管理暂行办法》要求；</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各分拣中心应只能分拣相对应再生资源分类，不得超出分拣范围，不得有拆解、加工行为，防止二次污染发生</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lang w:val="en-US" w:eastAsia="zh-CN"/>
              </w:rPr>
              <w:t>作业活动符合安全卫生相关规定，从业人员应接受岗位知识、技能培训等，培训合格后方可上岗</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应建立安全责任制，分拣中心主要负责人为第一责任人，发生重大责任事故，要追究其责任；</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rPr>
              <w:t>⑤</w:t>
            </w:r>
            <w:r>
              <w:rPr>
                <w:rFonts w:hint="eastAsia" w:ascii="仿宋_GB2312" w:hAnsi="仿宋_GB2312" w:eastAsia="仿宋_GB2312" w:cs="仿宋_GB2312"/>
                <w:color w:val="auto"/>
                <w:sz w:val="28"/>
                <w:szCs w:val="28"/>
                <w:highlight w:val="none"/>
                <w:lang w:val="en-US" w:eastAsia="zh-CN"/>
              </w:rPr>
              <w:t>对于分拣处理的不可回收物，应当按照《中华人民共和国固体废物污染环境防治法》等规定进行分类处理，并交由符合环境保护要求的企业利用或处理；</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⑥</w:t>
            </w:r>
            <w:r>
              <w:rPr>
                <w:rFonts w:hint="eastAsia" w:ascii="仿宋_GB2312" w:hAnsi="仿宋_GB2312" w:eastAsia="仿宋_GB2312" w:cs="仿宋_GB2312"/>
                <w:color w:val="auto"/>
                <w:sz w:val="28"/>
                <w:szCs w:val="28"/>
                <w:highlight w:val="none"/>
                <w:lang w:val="en-US" w:eastAsia="zh-CN"/>
              </w:rPr>
              <w:t>建立回收处理台账和数据库，在“</w:t>
            </w:r>
            <w:r>
              <w:rPr>
                <w:rFonts w:hint="eastAsia" w:ascii="仿宋_GB2312" w:hAnsi="仿宋_GB2312" w:eastAsia="仿宋_GB2312" w:cs="仿宋_GB2312"/>
                <w:color w:val="auto"/>
                <w:sz w:val="28"/>
                <w:szCs w:val="28"/>
                <w:highlight w:val="none"/>
              </w:rPr>
              <w:t>清城区</w:t>
            </w:r>
            <w:r>
              <w:rPr>
                <w:rFonts w:hint="eastAsia" w:ascii="仿宋_GB2312" w:hAnsi="仿宋_GB2312" w:eastAsia="仿宋_GB2312" w:cs="仿宋_GB2312"/>
                <w:color w:val="auto"/>
                <w:sz w:val="28"/>
                <w:szCs w:val="28"/>
                <w:highlight w:val="none"/>
                <w:lang w:val="en-US" w:eastAsia="zh-CN"/>
              </w:rPr>
              <w:t>再生资源</w:t>
            </w:r>
            <w:r>
              <w:rPr>
                <w:rFonts w:hint="eastAsia" w:ascii="仿宋_GB2312" w:hAnsi="仿宋_GB2312" w:eastAsia="仿宋_GB2312" w:cs="仿宋_GB2312"/>
                <w:color w:val="auto"/>
                <w:sz w:val="28"/>
                <w:szCs w:val="28"/>
                <w:highlight w:val="none"/>
              </w:rPr>
              <w:t>管理</w:t>
            </w:r>
            <w:r>
              <w:rPr>
                <w:rFonts w:hint="eastAsia" w:ascii="仿宋_GB2312" w:hAnsi="仿宋_GB2312" w:eastAsia="仿宋_GB2312" w:cs="仿宋_GB2312"/>
                <w:color w:val="auto"/>
                <w:sz w:val="28"/>
                <w:szCs w:val="28"/>
                <w:highlight w:val="none"/>
                <w:lang w:val="en-US" w:eastAsia="zh-CN"/>
              </w:rPr>
              <w:t>智慧云</w:t>
            </w:r>
            <w:r>
              <w:rPr>
                <w:rFonts w:hint="eastAsia" w:ascii="仿宋_GB2312" w:hAnsi="仿宋_GB2312" w:eastAsia="仿宋_GB2312" w:cs="仿宋_GB2312"/>
                <w:color w:val="auto"/>
                <w:sz w:val="28"/>
                <w:szCs w:val="28"/>
                <w:highlight w:val="none"/>
              </w:rPr>
              <w:t>平台</w:t>
            </w:r>
            <w:r>
              <w:rPr>
                <w:rFonts w:hint="eastAsia" w:ascii="仿宋_GB2312" w:hAnsi="仿宋_GB2312" w:eastAsia="仿宋_GB2312" w:cs="仿宋_GB2312"/>
                <w:color w:val="auto"/>
                <w:sz w:val="28"/>
                <w:szCs w:val="28"/>
                <w:highlight w:val="none"/>
                <w:lang w:val="en-US" w:eastAsia="zh-CN"/>
              </w:rPr>
              <w:t>”注册，成为“</w:t>
            </w:r>
            <w:r>
              <w:rPr>
                <w:rFonts w:hint="eastAsia" w:ascii="仿宋_GB2312" w:hAnsi="仿宋_GB2312" w:eastAsia="仿宋_GB2312" w:cs="仿宋_GB2312"/>
                <w:color w:val="auto"/>
                <w:sz w:val="28"/>
                <w:szCs w:val="28"/>
                <w:highlight w:val="none"/>
              </w:rPr>
              <w:t>清城区</w:t>
            </w:r>
            <w:r>
              <w:rPr>
                <w:rFonts w:hint="eastAsia" w:ascii="仿宋_GB2312" w:hAnsi="仿宋_GB2312" w:eastAsia="仿宋_GB2312" w:cs="仿宋_GB2312"/>
                <w:color w:val="auto"/>
                <w:sz w:val="28"/>
                <w:szCs w:val="28"/>
                <w:highlight w:val="none"/>
                <w:lang w:val="en-US" w:eastAsia="zh-CN"/>
              </w:rPr>
              <w:t>再生资源</w:t>
            </w:r>
            <w:r>
              <w:rPr>
                <w:rFonts w:hint="eastAsia" w:ascii="仿宋_GB2312" w:hAnsi="仿宋_GB2312" w:eastAsia="仿宋_GB2312" w:cs="仿宋_GB2312"/>
                <w:color w:val="auto"/>
                <w:sz w:val="28"/>
                <w:szCs w:val="28"/>
                <w:highlight w:val="none"/>
              </w:rPr>
              <w:t>管理</w:t>
            </w:r>
            <w:r>
              <w:rPr>
                <w:rFonts w:hint="eastAsia" w:ascii="仿宋_GB2312" w:hAnsi="仿宋_GB2312" w:eastAsia="仿宋_GB2312" w:cs="仿宋_GB2312"/>
                <w:color w:val="auto"/>
                <w:sz w:val="28"/>
                <w:szCs w:val="28"/>
                <w:highlight w:val="none"/>
                <w:lang w:val="en-US" w:eastAsia="zh-CN"/>
              </w:rPr>
              <w:t>智慧云</w:t>
            </w:r>
            <w:r>
              <w:rPr>
                <w:rFonts w:hint="eastAsia" w:ascii="仿宋_GB2312" w:hAnsi="仿宋_GB2312" w:eastAsia="仿宋_GB2312" w:cs="仿宋_GB2312"/>
                <w:color w:val="auto"/>
                <w:sz w:val="28"/>
                <w:szCs w:val="28"/>
                <w:highlight w:val="none"/>
              </w:rPr>
              <w:t>平台</w:t>
            </w:r>
            <w:r>
              <w:rPr>
                <w:rFonts w:hint="eastAsia" w:ascii="仿宋_GB2312" w:hAnsi="仿宋_GB2312" w:eastAsia="仿宋_GB2312" w:cs="仿宋_GB2312"/>
                <w:color w:val="auto"/>
                <w:sz w:val="28"/>
                <w:szCs w:val="28"/>
                <w:highlight w:val="none"/>
                <w:lang w:val="en-US" w:eastAsia="zh-CN"/>
              </w:rPr>
              <w:t>”的重要参与方，以信息化的手段监控固废的产生、流向和无害化过程。</w:t>
            </w:r>
          </w:p>
        </w:tc>
      </w:tr>
    </w:tbl>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bookmarkStart w:id="439" w:name="_Toc12665"/>
      <w:bookmarkStart w:id="440" w:name="_Toc28474"/>
      <w:bookmarkStart w:id="441" w:name="_Toc8869"/>
      <w:bookmarkStart w:id="442" w:name="_Toc28246"/>
      <w:bookmarkStart w:id="443" w:name="_Toc31230"/>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黑体" w:hAnsi="黑体" w:eastAsia="黑体" w:cs="黑体"/>
          <w:color w:val="auto"/>
          <w:sz w:val="32"/>
          <w:szCs w:val="32"/>
          <w:highlight w:val="none"/>
        </w:rPr>
      </w:pPr>
      <w:bookmarkStart w:id="444" w:name="_Toc30266"/>
      <w:bookmarkStart w:id="445" w:name="_Toc17805"/>
      <w:bookmarkStart w:id="446" w:name="_Toc11256"/>
      <w:bookmarkStart w:id="447" w:name="_Toc7453"/>
      <w:r>
        <w:rPr>
          <w:rFonts w:hint="eastAsia" w:ascii="黑体" w:hAnsi="黑体" w:eastAsia="黑体" w:cs="黑体"/>
          <w:color w:val="auto"/>
          <w:sz w:val="32"/>
          <w:szCs w:val="32"/>
          <w:highlight w:val="none"/>
        </w:rPr>
        <w:t xml:space="preserve">第七章  </w:t>
      </w:r>
      <w:r>
        <w:rPr>
          <w:rFonts w:hint="eastAsia" w:ascii="黑体" w:hAnsi="黑体" w:eastAsia="黑体" w:cs="黑体"/>
          <w:color w:val="auto"/>
          <w:sz w:val="32"/>
          <w:szCs w:val="32"/>
          <w:highlight w:val="none"/>
          <w:lang w:eastAsia="zh-CN"/>
        </w:rPr>
        <w:t>再生资源综合利用基地</w:t>
      </w:r>
      <w:r>
        <w:rPr>
          <w:rFonts w:hint="eastAsia" w:ascii="黑体" w:hAnsi="黑体" w:eastAsia="黑体" w:cs="黑体"/>
          <w:color w:val="auto"/>
          <w:sz w:val="32"/>
          <w:szCs w:val="32"/>
          <w:highlight w:val="none"/>
        </w:rPr>
        <w:t>规划</w:t>
      </w:r>
      <w:bookmarkEnd w:id="439"/>
      <w:bookmarkEnd w:id="440"/>
      <w:bookmarkEnd w:id="441"/>
      <w:bookmarkEnd w:id="442"/>
      <w:bookmarkEnd w:id="443"/>
      <w:bookmarkEnd w:id="444"/>
      <w:bookmarkEnd w:id="445"/>
      <w:bookmarkEnd w:id="446"/>
      <w:bookmarkEnd w:id="447"/>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448" w:name="_Toc14917"/>
      <w:bookmarkStart w:id="449" w:name="_Toc4963"/>
      <w:bookmarkStart w:id="450" w:name="_Toc32002"/>
      <w:bookmarkStart w:id="451" w:name="_Toc11849"/>
      <w:bookmarkStart w:id="452" w:name="_Toc6727"/>
      <w:bookmarkStart w:id="453" w:name="_Toc27872"/>
      <w:bookmarkStart w:id="454" w:name="_Toc29160"/>
      <w:bookmarkStart w:id="455" w:name="_Toc9626"/>
      <w:bookmarkStart w:id="456" w:name="_Toc20017"/>
      <w:r>
        <w:rPr>
          <w:rFonts w:hint="eastAsia" w:ascii="黑体" w:hAnsi="黑体" w:eastAsia="黑体" w:cs="黑体"/>
          <w:b w:val="0"/>
          <w:bCs w:val="0"/>
          <w:color w:val="auto"/>
          <w:sz w:val="32"/>
          <w:szCs w:val="32"/>
          <w:highlight w:val="none"/>
          <w:lang w:val="en-US" w:eastAsia="zh-CN"/>
        </w:rPr>
        <w:t>一、布局设计</w:t>
      </w:r>
      <w:bookmarkEnd w:id="448"/>
      <w:bookmarkEnd w:id="449"/>
      <w:bookmarkEnd w:id="450"/>
      <w:bookmarkEnd w:id="451"/>
      <w:bookmarkEnd w:id="452"/>
      <w:bookmarkEnd w:id="453"/>
      <w:bookmarkEnd w:id="454"/>
      <w:bookmarkEnd w:id="455"/>
      <w:bookmarkEnd w:id="456"/>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根据《清远市“三线一单”生态环境分区管控方案（清城区）》要求，不再新建废五金（进口）、废轮胎、废电子电器产品、废电（线）路板、废覆铜板等废旧资源综合利用项目。</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结合清城区再生资源产业发展现状，以现有再生资源回收利用企业作为再生资源回收处理的基础，对现有回收利用企业进行技术改造、设备升级、功能完善，择优建设废有色金属加工利用、废塑料加工利用、废钢铁加工利用、废纸加工利用、废玻璃加工利用示范点。</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以数据互通互联为突破口，建设“</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val="en-US" w:eastAsia="zh-CN"/>
        </w:rPr>
        <w:t>”及展示中心和建设再生资源回收利用示范点。推动产业集群数字化转型，加强关键流程数据采集和应用分析能力，推动数据互联互通、业务协同与融合创新，匹配产业链下游灵活优化生产计划，提高产能利用率，提高产业链协作效率和供应链协同水平，优化资源配置，实现高效回收</w:t>
      </w:r>
      <w:r>
        <w:rPr>
          <w:rFonts w:hint="eastAsia" w:ascii="仿宋_GB2312" w:hAnsi="仿宋_GB2312" w:eastAsia="仿宋_GB2312" w:cs="仿宋_GB2312"/>
          <w:color w:val="auto"/>
          <w:sz w:val="32"/>
          <w:szCs w:val="32"/>
          <w:highlight w:val="none"/>
        </w:rPr>
        <w:t>。</w:t>
      </w:r>
      <w:bookmarkStart w:id="457" w:name="_Toc14513"/>
      <w:bookmarkStart w:id="458" w:name="_Toc22171"/>
      <w:bookmarkStart w:id="459" w:name="_Toc12199"/>
      <w:bookmarkStart w:id="460" w:name="_Toc27670"/>
      <w:bookmarkStart w:id="461" w:name="_Toc1723"/>
    </w:p>
    <w:bookmarkEnd w:id="457"/>
    <w:bookmarkEnd w:id="458"/>
    <w:bookmarkEnd w:id="459"/>
    <w:bookmarkEnd w:id="460"/>
    <w:bookmarkEnd w:id="461"/>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462" w:name="_Toc371"/>
      <w:bookmarkStart w:id="463" w:name="_Toc10046"/>
      <w:bookmarkStart w:id="464" w:name="_Toc18257"/>
      <w:bookmarkStart w:id="465" w:name="_Toc26279"/>
      <w:bookmarkStart w:id="466" w:name="_Toc31540"/>
      <w:bookmarkStart w:id="467" w:name="_Toc24039"/>
      <w:bookmarkStart w:id="468" w:name="_Toc18295"/>
      <w:bookmarkStart w:id="469" w:name="_Toc15924"/>
      <w:bookmarkStart w:id="470" w:name="_Toc2646"/>
      <w:r>
        <w:rPr>
          <w:rFonts w:hint="eastAsia" w:ascii="黑体" w:hAnsi="黑体" w:eastAsia="黑体" w:cs="黑体"/>
          <w:b w:val="0"/>
          <w:bCs w:val="0"/>
          <w:color w:val="auto"/>
          <w:sz w:val="32"/>
          <w:szCs w:val="32"/>
          <w:highlight w:val="none"/>
          <w:lang w:val="en-US" w:eastAsia="zh-CN"/>
        </w:rPr>
        <w:t>二、建设引导</w:t>
      </w:r>
      <w:bookmarkEnd w:id="462"/>
      <w:bookmarkEnd w:id="463"/>
      <w:bookmarkEnd w:id="464"/>
      <w:bookmarkEnd w:id="465"/>
      <w:bookmarkEnd w:id="466"/>
      <w:bookmarkEnd w:id="467"/>
      <w:bookmarkEnd w:id="468"/>
      <w:bookmarkEnd w:id="469"/>
      <w:bookmarkEnd w:id="470"/>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0"/>
          <w:szCs w:val="30"/>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按照“场地要求”“设施要求”“管理要求”分类，清城区</w:t>
      </w:r>
      <w:r>
        <w:rPr>
          <w:rFonts w:hint="eastAsia" w:ascii="仿宋_GB2312" w:hAnsi="仿宋_GB2312" w:eastAsia="仿宋_GB2312" w:cs="仿宋_GB2312"/>
          <w:color w:val="auto"/>
          <w:sz w:val="32"/>
          <w:szCs w:val="32"/>
          <w:highlight w:val="none"/>
          <w:lang w:val="en-US" w:eastAsia="zh-CN"/>
        </w:rPr>
        <w:t>再生资源综合利用基地建设引导具体如下：</w:t>
      </w:r>
      <w:bookmarkStart w:id="471" w:name="_Toc4441"/>
      <w:bookmarkStart w:id="472" w:name="_Toc31550"/>
      <w:bookmarkStart w:id="473" w:name="_Toc10146"/>
      <w:bookmarkStart w:id="474" w:name="_Toc11360"/>
      <w:bookmarkStart w:id="475" w:name="_Toc11817"/>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0" w:rightChars="0" w:firstLine="0" w:firstLineChars="0"/>
        <w:jc w:val="center"/>
        <w:textAlignment w:val="auto"/>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b/>
          <w:bCs/>
          <w:color w:val="auto"/>
          <w:sz w:val="30"/>
          <w:szCs w:val="30"/>
          <w:highlight w:val="none"/>
          <w:lang w:val="en-US" w:eastAsia="zh-CN"/>
        </w:rPr>
        <w:t>表7 清城区再生资源综合利用基地（园区）建设引导规范</w:t>
      </w:r>
      <w:bookmarkEnd w:id="471"/>
      <w:bookmarkEnd w:id="472"/>
      <w:bookmarkEnd w:id="473"/>
      <w:bookmarkEnd w:id="474"/>
      <w:bookmarkEnd w:id="475"/>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00"/>
        <w:gridCol w:w="6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b/>
                <w:bCs/>
                <w:color w:val="auto"/>
                <w:sz w:val="28"/>
                <w:szCs w:val="28"/>
                <w:highlight w:val="none"/>
                <w:lang w:val="en-US" w:eastAsia="zh-CN"/>
              </w:rPr>
              <w:t>清城区再生资源综合利用基地（园区）</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场地要求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①</w:t>
            </w:r>
            <w:r>
              <w:rPr>
                <w:rFonts w:hint="eastAsia" w:ascii="仿宋_GB2312" w:hAnsi="仿宋_GB2312" w:eastAsia="仿宋_GB2312" w:cs="仿宋_GB2312"/>
                <w:color w:val="auto"/>
                <w:sz w:val="28"/>
                <w:szCs w:val="28"/>
                <w:highlight w:val="none"/>
                <w:lang w:val="en-US" w:eastAsia="zh-CN"/>
              </w:rPr>
              <w:t>应建有标准厂房，各综合利用生产线地面应作防水、防渗透处理，有特殊要求的地面应作防腐蚀处理，一般地面应为混凝土地面</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u w:val="none"/>
                <w:lang w:val="en-US" w:eastAsia="zh-CN"/>
              </w:rPr>
              <w:t>②</w:t>
            </w:r>
            <w:r>
              <w:rPr>
                <w:rFonts w:hint="eastAsia" w:ascii="仿宋_GB2312" w:hAnsi="仿宋_GB2312" w:eastAsia="仿宋_GB2312" w:cs="仿宋_GB2312"/>
                <w:color w:val="auto"/>
                <w:sz w:val="28"/>
                <w:szCs w:val="28"/>
                <w:highlight w:val="none"/>
                <w:lang w:val="en-US" w:eastAsia="zh-CN"/>
              </w:rPr>
              <w:t>基地建设的总体布局应按照功能分区、分块布置，建设用地应遵守科学、合理、节约、集约用地的原则，满足经营、加工、生产、办公、生活的要求</w:t>
            </w:r>
            <w:r>
              <w:rPr>
                <w:rFonts w:hint="eastAsia" w:ascii="仿宋_GB2312" w:hAnsi="仿宋_GB2312" w:eastAsia="仿宋_GB2312" w:cs="仿宋_GB2312"/>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u w:val="none"/>
                <w:lang w:val="en-US" w:eastAsia="zh-CN"/>
              </w:rPr>
              <w:t>③</w:t>
            </w:r>
            <w:r>
              <w:rPr>
                <w:rFonts w:hint="eastAsia" w:ascii="仿宋_GB2312" w:hAnsi="仿宋_GB2312" w:eastAsia="仿宋_GB2312" w:cs="仿宋_GB2312"/>
                <w:color w:val="auto"/>
                <w:sz w:val="28"/>
                <w:szCs w:val="28"/>
                <w:highlight w:val="none"/>
                <w:lang w:val="en-US" w:eastAsia="zh-CN"/>
              </w:rPr>
              <w:t>建设规范需要符合国家和地方标准，以符合环保、排污、卫生、消防等各类相关要求为原则；</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合理设计规划展示、研发、生产、加工、物流、污染处理、废物处置等功能区，确保项目间的协同效应最大化。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设施要求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①再生资源回收利用应具备配置齐全的加工利用设备、检测设备；</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②具备匹配“</w:t>
            </w:r>
            <w:r>
              <w:rPr>
                <w:rFonts w:hint="eastAsia" w:ascii="仿宋_GB2312" w:hAnsi="仿宋_GB2312" w:eastAsia="仿宋_GB2312" w:cs="仿宋_GB2312"/>
                <w:color w:val="auto"/>
                <w:sz w:val="28"/>
                <w:szCs w:val="28"/>
                <w:highlight w:val="none"/>
              </w:rPr>
              <w:t>清城区</w:t>
            </w:r>
            <w:r>
              <w:rPr>
                <w:rFonts w:hint="eastAsia" w:ascii="仿宋_GB2312" w:hAnsi="仿宋_GB2312" w:eastAsia="仿宋_GB2312" w:cs="仿宋_GB2312"/>
                <w:color w:val="auto"/>
                <w:sz w:val="28"/>
                <w:szCs w:val="28"/>
                <w:highlight w:val="none"/>
                <w:lang w:val="en-US" w:eastAsia="zh-CN"/>
              </w:rPr>
              <w:t>再生资源</w:t>
            </w:r>
            <w:r>
              <w:rPr>
                <w:rFonts w:hint="eastAsia" w:ascii="仿宋_GB2312" w:hAnsi="仿宋_GB2312" w:eastAsia="仿宋_GB2312" w:cs="仿宋_GB2312"/>
                <w:color w:val="auto"/>
                <w:sz w:val="28"/>
                <w:szCs w:val="28"/>
                <w:highlight w:val="none"/>
              </w:rPr>
              <w:t>管理</w:t>
            </w:r>
            <w:r>
              <w:rPr>
                <w:rFonts w:hint="eastAsia" w:ascii="仿宋_GB2312" w:hAnsi="仿宋_GB2312" w:eastAsia="仿宋_GB2312" w:cs="仿宋_GB2312"/>
                <w:color w:val="auto"/>
                <w:sz w:val="28"/>
                <w:szCs w:val="28"/>
                <w:highlight w:val="none"/>
                <w:lang w:val="en-US" w:eastAsia="zh-CN"/>
              </w:rPr>
              <w:t>智慧云</w:t>
            </w:r>
            <w:r>
              <w:rPr>
                <w:rFonts w:hint="eastAsia" w:ascii="仿宋_GB2312" w:hAnsi="仿宋_GB2312" w:eastAsia="仿宋_GB2312" w:cs="仿宋_GB2312"/>
                <w:color w:val="auto"/>
                <w:sz w:val="28"/>
                <w:szCs w:val="28"/>
                <w:highlight w:val="none"/>
              </w:rPr>
              <w:t>平台</w:t>
            </w:r>
            <w:r>
              <w:rPr>
                <w:rFonts w:hint="eastAsia" w:ascii="仿宋_GB2312" w:hAnsi="仿宋_GB2312" w:eastAsia="仿宋_GB2312" w:cs="仿宋_GB2312"/>
                <w:color w:val="auto"/>
                <w:sz w:val="28"/>
                <w:szCs w:val="28"/>
                <w:highlight w:val="none"/>
                <w:lang w:val="en-US" w:eastAsia="zh-CN"/>
              </w:rPr>
              <w:t>”数字化平台的软硬件设备；</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③应配建与基地生产排放相适应的污水、废气等污染物集中处理设施，达到污染排放控制的相关要求；</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firstLine="0" w:firstLineChars="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应配建与基地生产规模相适应的危险废物集中贮存仓库，达到安全生产要求。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7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center"/>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lang w:val="en-US" w:eastAsia="zh-CN"/>
              </w:rPr>
              <w:t>经营要求</w:t>
            </w:r>
          </w:p>
        </w:tc>
        <w:tc>
          <w:tcPr>
            <w:tcW w:w="66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①</w:t>
            </w:r>
            <w:r>
              <w:rPr>
                <w:rFonts w:hint="eastAsia" w:ascii="仿宋_GB2312" w:hAnsi="仿宋_GB2312" w:eastAsia="仿宋_GB2312" w:cs="仿宋_GB2312"/>
                <w:color w:val="auto"/>
                <w:sz w:val="28"/>
                <w:szCs w:val="28"/>
                <w:highlight w:val="none"/>
                <w:u w:val="none"/>
                <w:lang w:val="en-US" w:eastAsia="zh-CN"/>
              </w:rPr>
              <w:t>项目须符合《清远市“三线一单”生态环境分区管控方案》《清城区招商项目准入管理暂行办法》要求；</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②</w:t>
            </w:r>
            <w:r>
              <w:rPr>
                <w:rFonts w:hint="eastAsia" w:ascii="仿宋_GB2312" w:hAnsi="仿宋_GB2312" w:eastAsia="仿宋_GB2312" w:cs="仿宋_GB2312"/>
                <w:color w:val="auto"/>
                <w:sz w:val="28"/>
                <w:szCs w:val="28"/>
                <w:highlight w:val="none"/>
                <w:lang w:val="en-US" w:eastAsia="zh-CN"/>
              </w:rPr>
              <w:t>经营管理要实现管理规范化、经营规模化、基地信息化。要采用更先进设备、技术，提高粗精加工率、直接利用率、综合利用率，延长产业链，提高产品附加值，降低营运成本，提高综合效益</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u w:val="none"/>
              </w:rPr>
              <w:t>③</w:t>
            </w:r>
            <w:r>
              <w:rPr>
                <w:rFonts w:hint="eastAsia" w:ascii="仿宋_GB2312" w:hAnsi="仿宋_GB2312" w:eastAsia="仿宋_GB2312" w:cs="仿宋_GB2312"/>
                <w:color w:val="auto"/>
                <w:sz w:val="28"/>
                <w:szCs w:val="28"/>
                <w:highlight w:val="none"/>
                <w:lang w:val="en-US" w:eastAsia="zh-CN"/>
              </w:rPr>
              <w:t>作业活动符合安全卫生相关规定，基地内从业人员必须经过职业道德教育和岗位知识、技能培训，掌握必要的劳动保护知识。对从事特种作业的从业人员，必须进行专业安全技术培训，并经劳动保障部门考核，取得特种作业操作证后，方可上岗作业</w:t>
            </w:r>
            <w:r>
              <w:rPr>
                <w:rFonts w:hint="eastAsia" w:ascii="仿宋_GB2312" w:hAnsi="仿宋_GB2312" w:eastAsia="仿宋_GB2312" w:cs="仿宋_GB2312"/>
                <w:color w:val="auto"/>
                <w:sz w:val="28"/>
                <w:szCs w:val="28"/>
                <w:highlight w:val="none"/>
                <w:u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仿宋_GB2312" w:hAnsi="仿宋_GB2312" w:eastAsia="仿宋_GB2312" w:cs="仿宋_GB2312"/>
                <w:color w:val="auto"/>
                <w:sz w:val="28"/>
                <w:szCs w:val="28"/>
                <w:highlight w:val="none"/>
                <w:u w:val="none"/>
                <w:vertAlign w:val="baseline"/>
                <w:lang w:eastAsia="zh-CN"/>
              </w:rPr>
            </w:pPr>
            <w:r>
              <w:rPr>
                <w:rFonts w:hint="eastAsia" w:ascii="仿宋_GB2312" w:hAnsi="仿宋_GB2312" w:eastAsia="仿宋_GB2312" w:cs="仿宋_GB2312"/>
                <w:color w:val="auto"/>
                <w:sz w:val="28"/>
                <w:szCs w:val="28"/>
                <w:highlight w:val="none"/>
                <w:u w:val="none"/>
              </w:rPr>
              <w:t>④</w:t>
            </w:r>
            <w:r>
              <w:rPr>
                <w:rFonts w:hint="eastAsia" w:ascii="仿宋_GB2312" w:hAnsi="仿宋_GB2312" w:eastAsia="仿宋_GB2312" w:cs="仿宋_GB2312"/>
                <w:color w:val="auto"/>
                <w:sz w:val="28"/>
                <w:szCs w:val="28"/>
                <w:highlight w:val="none"/>
                <w:lang w:val="en-US" w:eastAsia="zh-CN"/>
              </w:rPr>
              <w:t>基地内要建立健全各项经营管理制度。建立经营、治安、消防、外来人口、卫生等各种责任制度，并落实责任到人。同时应建立综合治理和安全责任制，基地主要负责人为第一责任人，发生重大责任事故，要追究其责任。</w:t>
            </w:r>
          </w:p>
        </w:tc>
      </w:tr>
    </w:tbl>
    <w:p>
      <w:pPr>
        <w:pageBreakBefore w:val="0"/>
        <w:widowControl w:val="0"/>
        <w:kinsoku/>
        <w:wordWrap/>
        <w:overflowPunct/>
        <w:topLinePunct w:val="0"/>
        <w:autoSpaceDE/>
        <w:autoSpaceDN/>
        <w:bidi w:val="0"/>
        <w:adjustRightInd w:val="0"/>
        <w:snapToGrid w:val="0"/>
        <w:spacing w:line="480" w:lineRule="exact"/>
        <w:ind w:right="0" w:rightChars="0"/>
        <w:jc w:val="both"/>
        <w:textAlignment w:val="auto"/>
        <w:rPr>
          <w:rFonts w:hint="eastAsia" w:ascii="黑体" w:hAnsi="黑体" w:eastAsia="黑体" w:cs="黑体"/>
          <w:color w:val="auto"/>
          <w:sz w:val="28"/>
          <w:szCs w:val="28"/>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rPr>
          <w:rFonts w:hint="eastAsia" w:ascii="黑体" w:hAnsi="黑体" w:eastAsia="黑体" w:cs="黑体"/>
          <w:color w:val="auto"/>
          <w:sz w:val="30"/>
          <w:szCs w:val="30"/>
          <w:highlight w:val="none"/>
        </w:rPr>
      </w:pPr>
      <w:bookmarkStart w:id="476" w:name="_Toc14288"/>
      <w:bookmarkStart w:id="477" w:name="_Toc1942"/>
      <w:bookmarkStart w:id="478" w:name="_Toc20754"/>
      <w:bookmarkStart w:id="479" w:name="_Toc218"/>
      <w:bookmarkStart w:id="480" w:name="_Toc18325"/>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仿宋" w:hAnsi="仿宋" w:eastAsia="仿宋" w:cs="仿宋"/>
          <w:color w:val="auto"/>
          <w:sz w:val="30"/>
          <w:szCs w:val="30"/>
          <w:highlight w:val="none"/>
        </w:rPr>
      </w:pPr>
      <w:bookmarkStart w:id="481" w:name="_Toc27570"/>
      <w:bookmarkStart w:id="482" w:name="_Toc22689"/>
      <w:bookmarkStart w:id="483" w:name="_Toc26938"/>
      <w:bookmarkStart w:id="484" w:name="_Toc8013"/>
      <w:r>
        <w:rPr>
          <w:rFonts w:hint="eastAsia" w:ascii="黑体" w:hAnsi="黑体" w:eastAsia="黑体" w:cs="黑体"/>
          <w:color w:val="auto"/>
          <w:sz w:val="32"/>
          <w:szCs w:val="32"/>
          <w:highlight w:val="none"/>
        </w:rPr>
        <w:t>第八章 全流程综合信息系统建设</w:t>
      </w:r>
      <w:bookmarkEnd w:id="476"/>
      <w:bookmarkEnd w:id="477"/>
      <w:r>
        <w:rPr>
          <w:rFonts w:hint="eastAsia" w:ascii="黑体" w:hAnsi="黑体" w:eastAsia="黑体" w:cs="黑体"/>
          <w:color w:val="auto"/>
          <w:sz w:val="32"/>
          <w:szCs w:val="32"/>
          <w:highlight w:val="none"/>
          <w:lang w:val="en-US" w:eastAsia="zh-CN"/>
        </w:rPr>
        <w:t>规划</w:t>
      </w:r>
      <w:bookmarkEnd w:id="478"/>
      <w:bookmarkEnd w:id="479"/>
      <w:bookmarkEnd w:id="480"/>
      <w:bookmarkEnd w:id="481"/>
      <w:bookmarkEnd w:id="482"/>
      <w:bookmarkEnd w:id="483"/>
      <w:bookmarkEnd w:id="484"/>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通过物联网+互联网+大数据的技术手段，建设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w:t>
      </w:r>
      <w:r>
        <w:rPr>
          <w:rFonts w:hint="eastAsia" w:ascii="仿宋_GB2312" w:hAnsi="仿宋_GB2312" w:eastAsia="仿宋_GB2312" w:cs="仿宋_GB2312"/>
          <w:color w:val="auto"/>
          <w:sz w:val="32"/>
          <w:szCs w:val="32"/>
          <w:highlight w:val="none"/>
          <w:lang w:val="en-US" w:eastAsia="zh-CN"/>
        </w:rPr>
        <w:t>智慧云</w:t>
      </w:r>
      <w:r>
        <w:rPr>
          <w:rFonts w:hint="eastAsia" w:ascii="仿宋_GB2312" w:hAnsi="仿宋_GB2312" w:eastAsia="仿宋_GB2312" w:cs="仿宋_GB2312"/>
          <w:color w:val="auto"/>
          <w:sz w:val="32"/>
          <w:szCs w:val="32"/>
          <w:highlight w:val="none"/>
        </w:rPr>
        <w:t>平台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全过程综合信息和监管系统，搭建面向可回收投售者的APP、小程序、公众号、400电话等软件服务系统，满足居民投售需求和政府监管要求。</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黑体" w:hAnsi="黑体" w:eastAsia="黑体" w:cs="黑体"/>
          <w:b w:val="0"/>
          <w:bCs w:val="0"/>
          <w:color w:val="auto"/>
          <w:sz w:val="32"/>
          <w:szCs w:val="32"/>
          <w:highlight w:val="none"/>
          <w:lang w:val="en-US" w:eastAsia="zh-CN"/>
        </w:rPr>
        <w:t>一、再生资源回收+交易信息数据采集。</w:t>
      </w:r>
      <w:r>
        <w:rPr>
          <w:rFonts w:hint="eastAsia" w:ascii="仿宋_GB2312" w:hAnsi="仿宋_GB2312" w:eastAsia="仿宋_GB2312" w:cs="仿宋_GB2312"/>
          <w:color w:val="auto"/>
          <w:sz w:val="32"/>
          <w:szCs w:val="32"/>
          <w:highlight w:val="none"/>
        </w:rPr>
        <w:t>在再生资源产生、清运、处置全过程设立信息数据</w:t>
      </w:r>
      <w:r>
        <w:rPr>
          <w:rFonts w:hint="eastAsia" w:ascii="仿宋_GB2312" w:hAnsi="仿宋_GB2312" w:eastAsia="仿宋_GB2312" w:cs="仿宋_GB2312"/>
          <w:color w:val="auto"/>
          <w:sz w:val="32"/>
          <w:szCs w:val="32"/>
          <w:highlight w:val="none"/>
          <w:lang w:val="en-US" w:eastAsia="zh-CN"/>
        </w:rPr>
        <w:t>自动</w:t>
      </w:r>
      <w:r>
        <w:rPr>
          <w:rFonts w:hint="eastAsia" w:ascii="仿宋_GB2312" w:hAnsi="仿宋_GB2312" w:eastAsia="仿宋_GB2312" w:cs="仿宋_GB2312"/>
          <w:color w:val="auto"/>
          <w:sz w:val="32"/>
          <w:szCs w:val="32"/>
          <w:highlight w:val="none"/>
        </w:rPr>
        <w:t>采集，改变再生资源数据只有</w:t>
      </w:r>
      <w:r>
        <w:rPr>
          <w:rFonts w:hint="eastAsia" w:ascii="仿宋_GB2312" w:hAnsi="仿宋_GB2312" w:eastAsia="仿宋_GB2312" w:cs="仿宋_GB2312"/>
          <w:color w:val="auto"/>
          <w:sz w:val="32"/>
          <w:szCs w:val="32"/>
          <w:highlight w:val="none"/>
          <w:lang w:val="en-US" w:eastAsia="zh-CN"/>
        </w:rPr>
        <w:t>规模以上工业企业</w:t>
      </w:r>
      <w:r>
        <w:rPr>
          <w:rFonts w:hint="eastAsia" w:ascii="仿宋_GB2312" w:hAnsi="仿宋_GB2312" w:eastAsia="仿宋_GB2312" w:cs="仿宋_GB2312"/>
          <w:color w:val="auto"/>
          <w:sz w:val="32"/>
          <w:szCs w:val="32"/>
          <w:highlight w:val="none"/>
        </w:rPr>
        <w:t>数据统计单一来源的状态，摸清各区域再生资源流向和分布规律，形成管理信息基础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并通过数据中心进行分析、挖掘、展示</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黑体" w:hAnsi="黑体" w:eastAsia="黑体" w:cs="黑体"/>
          <w:b w:val="0"/>
          <w:bCs w:val="0"/>
          <w:color w:val="auto"/>
          <w:sz w:val="32"/>
          <w:szCs w:val="32"/>
          <w:highlight w:val="none"/>
          <w:lang w:val="en-US" w:eastAsia="zh-CN"/>
        </w:rPr>
        <w:t>二、再生资源回收行业综合信息管理系统。</w:t>
      </w:r>
      <w:r>
        <w:rPr>
          <w:rFonts w:hint="eastAsia" w:ascii="仿宋_GB2312" w:hAnsi="仿宋_GB2312" w:eastAsia="仿宋_GB2312" w:cs="仿宋_GB2312"/>
          <w:color w:val="auto"/>
          <w:sz w:val="32"/>
          <w:szCs w:val="32"/>
          <w:highlight w:val="none"/>
        </w:rPr>
        <w:t>在信息数据基础上，融入管理者、监管者和公众的参与端口。管理者能够了解不足和改进并及时发布调整政策；监管者能够实时掌握再生资源流向和全流程作业状态，强化监管能力；公众作为产生和交易源头环节，能够明确自身产生</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再生资源最终去向。</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黑体" w:hAnsi="黑体" w:eastAsia="黑体" w:cs="黑体"/>
          <w:b w:val="0"/>
          <w:bCs w:val="0"/>
          <w:color w:val="auto"/>
          <w:sz w:val="32"/>
          <w:szCs w:val="32"/>
          <w:highlight w:val="none"/>
          <w:lang w:val="en-US" w:eastAsia="zh-CN"/>
        </w:rPr>
        <w:t>三、远程响应能力。</w:t>
      </w:r>
      <w:r>
        <w:rPr>
          <w:rFonts w:hint="eastAsia" w:ascii="仿宋_GB2312" w:hAnsi="仿宋_GB2312" w:eastAsia="仿宋_GB2312" w:cs="仿宋_GB2312"/>
          <w:color w:val="auto"/>
          <w:sz w:val="32"/>
          <w:szCs w:val="32"/>
          <w:highlight w:val="none"/>
        </w:rPr>
        <w:t>对违规或非法行为能够及时警示，或者锁定源头跟踪流向，保存处罚依据。</w:t>
      </w:r>
    </w:p>
    <w:p>
      <w:pPr>
        <w:bidi w:val="0"/>
        <w:spacing w:line="360" w:lineRule="auto"/>
        <w:jc w:val="both"/>
        <w:rPr>
          <w:rFonts w:hint="eastAsia" w:ascii="仿宋" w:hAnsi="仿宋" w:eastAsia="仿宋" w:cs="仿宋"/>
          <w:b/>
          <w:bCs/>
          <w:color w:val="auto"/>
          <w:sz w:val="30"/>
          <w:szCs w:val="30"/>
          <w:highlight w:val="none"/>
          <w:lang w:val="en-US" w:eastAsia="zh-CN"/>
        </w:rPr>
      </w:pPr>
    </w:p>
    <w:p>
      <w:pPr>
        <w:bidi w:val="0"/>
        <w:spacing w:line="360" w:lineRule="auto"/>
        <w:jc w:val="both"/>
        <w:rPr>
          <w:rFonts w:hint="eastAsia" w:ascii="仿宋_GB2312" w:hAnsi="仿宋_GB2312" w:eastAsia="仿宋_GB2312" w:cs="仿宋_GB2312"/>
          <w:b/>
          <w:bCs/>
          <w:color w:val="auto"/>
          <w:sz w:val="30"/>
          <w:szCs w:val="30"/>
          <w:highlight w:val="none"/>
          <w:lang w:val="en-US" w:eastAsia="zh-CN"/>
        </w:rPr>
      </w:pPr>
    </w:p>
    <w:p>
      <w:pPr>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lang w:val="en-US" w:eastAsia="zh-CN"/>
        </w:rPr>
        <w:t>图6 清城区再生资源全流程综合信息系统数据示意图</w:t>
      </w:r>
    </w:p>
    <w:p>
      <w:pPr>
        <w:pageBreakBefore w:val="0"/>
        <w:widowControl w:val="0"/>
        <w:kinsoku/>
        <w:wordWrap/>
        <w:overflowPunct/>
        <w:topLinePunct w:val="0"/>
        <w:autoSpaceDE/>
        <w:autoSpaceDN/>
        <w:bidi w:val="0"/>
        <w:adjustRightInd/>
        <w:snapToGrid/>
        <w:jc w:val="both"/>
        <w:textAlignment w:val="auto"/>
        <w:outlineLvl w:val="9"/>
        <w:rPr>
          <w:rFonts w:hint="eastAsia" w:eastAsia="宋体"/>
          <w:color w:val="auto"/>
          <w:highlight w:val="none"/>
          <w:lang w:eastAsia="zh-CN"/>
        </w:rPr>
      </w:pPr>
      <w:bookmarkStart w:id="485" w:name="_Toc22236"/>
      <w:r>
        <w:rPr>
          <w:rFonts w:hint="eastAsia" w:eastAsia="宋体"/>
          <w:color w:val="auto"/>
          <w:highlight w:val="none"/>
          <w:lang w:eastAsia="zh-CN"/>
        </w:rPr>
        <w:drawing>
          <wp:inline distT="0" distB="0" distL="114300" distR="114300">
            <wp:extent cx="5126990" cy="2498725"/>
            <wp:effectExtent l="0" t="0" r="16510" b="15875"/>
            <wp:docPr id="8" name="图片 10" descr="163100904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0" descr="1631009042(1)"/>
                    <pic:cNvPicPr>
                      <a:picLocks noChangeAspect="true"/>
                    </pic:cNvPicPr>
                  </pic:nvPicPr>
                  <pic:blipFill>
                    <a:blip r:embed="rId12"/>
                    <a:stretch>
                      <a:fillRect/>
                    </a:stretch>
                  </pic:blipFill>
                  <pic:spPr>
                    <a:xfrm>
                      <a:off x="0" y="0"/>
                      <a:ext cx="5126990" cy="2498725"/>
                    </a:xfrm>
                    <a:prstGeom prst="rect">
                      <a:avLst/>
                    </a:prstGeom>
                    <a:noFill/>
                    <a:ln>
                      <a:noFill/>
                    </a:ln>
                  </pic:spPr>
                </pic:pic>
              </a:graphicData>
            </a:graphic>
          </wp:inline>
        </w:drawing>
      </w:r>
      <w:bookmarkEnd w:id="485"/>
    </w:p>
    <w:p>
      <w:pPr>
        <w:bidi w:val="0"/>
        <w:jc w:val="both"/>
        <w:rPr>
          <w:rFonts w:hint="eastAsia"/>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四、系统的建设、管理、运营和应用。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（一）系统的建设。</w:t>
      </w:r>
      <w:r>
        <w:rPr>
          <w:rFonts w:hint="eastAsia" w:ascii="仿宋_GB2312" w:hAnsi="仿宋_GB2312" w:eastAsia="仿宋_GB2312" w:cs="仿宋_GB2312"/>
          <w:b w:val="0"/>
          <w:bCs w:val="0"/>
          <w:color w:val="auto"/>
          <w:sz w:val="32"/>
          <w:szCs w:val="32"/>
          <w:highlight w:val="none"/>
          <w:lang w:val="en-US" w:eastAsia="zh-CN"/>
        </w:rPr>
        <w:t>建议“清城区再生资源全流程综合信息系统”（以下简称“系统”）由再生资源综合利用基地（园区）运营主体（以下简称“建设方”）投入资金、整合资源进行建设。基于清城区再生资源四级回收网点体系，该系统要满足再生资源收集、分类、分拣、运输、回收、加工全产业链的数据采集、上传、统计、分析功能，以及产业链数据的展示、预警、管理、监督功能。建设方应在清城区再生资源回收体系建设工作领导小组的指导下，完成该系统的设计、制作、试运行、验收等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（二）系统的管理和运营。</w:t>
      </w:r>
      <w:r>
        <w:rPr>
          <w:rFonts w:hint="eastAsia" w:ascii="仿宋_GB2312" w:hAnsi="仿宋_GB2312" w:eastAsia="仿宋_GB2312" w:cs="仿宋_GB2312"/>
          <w:b w:val="0"/>
          <w:bCs w:val="0"/>
          <w:color w:val="auto"/>
          <w:sz w:val="32"/>
          <w:szCs w:val="32"/>
          <w:highlight w:val="none"/>
          <w:lang w:val="en-US" w:eastAsia="zh-CN"/>
        </w:rPr>
        <w:t>为保障系统的权威性和公信力，建设方完成对系统的验收并确认可以正式投入运营，即向清城区工业和信息化局移交系统所有权。清城区工业和信息化局作为行业管理部门，可委托建设方代为运营、维护和管理，当建设方未能履行系统的维护、运营和管理职能时，清城区工业和信息化局可选择其他具备条件的主体负责。运营方负责投入资金、人员、场地等解决系统运行过程中的技术问题，并及时对系统进行优化和升级，保障系统的正常运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（三）系统的应用。</w:t>
      </w:r>
      <w:r>
        <w:rPr>
          <w:rFonts w:hint="eastAsia" w:ascii="仿宋_GB2312" w:hAnsi="仿宋_GB2312" w:eastAsia="仿宋_GB2312" w:cs="仿宋_GB2312"/>
          <w:b w:val="0"/>
          <w:bCs w:val="0"/>
          <w:color w:val="auto"/>
          <w:sz w:val="32"/>
          <w:szCs w:val="32"/>
          <w:highlight w:val="none"/>
          <w:lang w:val="en-US" w:eastAsia="zh-CN"/>
        </w:rPr>
        <w:t>为满足和支持系统对再生资源收集、分类、分拣、运输、回收、加工全产业链的数据采集、上传、统计、分析功能，建议在清城区再生资源回收体系建设工作领导小组的指导下，全区所设立的分拣中心和基地均应用该系统。由建设方对分拣中心和基地、回收网点等进行定期培训，完善系统的数据录入。并对新增的回收网点和旧有的回收网点倡导应用自动数据采集设备，并利用系统，记录再生资源收集、分类等数据。</w:t>
      </w:r>
    </w:p>
    <w:p>
      <w:pPr>
        <w:pStyle w:val="2"/>
        <w:jc w:val="both"/>
        <w:rPr>
          <w:rFonts w:hint="eastAsia"/>
          <w:lang w:val="en-US" w:eastAsia="zh-CN"/>
        </w:rPr>
      </w:pPr>
    </w:p>
    <w:p>
      <w:pPr>
        <w:pStyle w:val="2"/>
        <w:numPr>
          <w:ilvl w:val="0"/>
          <w:numId w:val="0"/>
        </w:numPr>
        <w:jc w:val="both"/>
        <w:rPr>
          <w:rFonts w:hint="default"/>
          <w:lang w:val="en-US" w:eastAsia="zh-CN"/>
        </w:rPr>
      </w:pPr>
      <w:r>
        <w:rPr>
          <w:rFonts w:hint="eastAsia"/>
          <w:lang w:val="en-US" w:eastAsia="zh-CN"/>
        </w:rPr>
        <w:t xml:space="preserve">  </w:t>
      </w: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bookmarkStart w:id="486" w:name="_Toc31574"/>
      <w:bookmarkStart w:id="487" w:name="_Toc8477"/>
      <w:bookmarkStart w:id="488" w:name="_Toc31197"/>
      <w:bookmarkStart w:id="489" w:name="_Toc7786"/>
      <w:bookmarkStart w:id="490" w:name="_Toc31285"/>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pPr>
    </w:p>
    <w:p>
      <w:pPr>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黑体" w:hAnsi="黑体" w:eastAsia="黑体" w:cs="黑体"/>
          <w:color w:val="auto"/>
          <w:sz w:val="32"/>
          <w:szCs w:val="32"/>
          <w:highlight w:val="none"/>
        </w:rPr>
        <w:sectPr>
          <w:pgSz w:w="11906" w:h="16838"/>
          <w:pgMar w:top="1440" w:right="1800" w:bottom="1440" w:left="1800" w:header="851" w:footer="992"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625" w:beforeLines="200" w:after="625" w:afterLines="200" w:line="360" w:lineRule="auto"/>
        <w:ind w:right="0" w:rightChars="0"/>
        <w:jc w:val="center"/>
        <w:textAlignment w:val="auto"/>
        <w:outlineLvl w:val="0"/>
        <w:rPr>
          <w:rFonts w:hint="eastAsia" w:ascii="仿宋_GB2312" w:hAnsi="仿宋_GB2312" w:eastAsia="仿宋_GB2312" w:cs="仿宋_GB2312"/>
          <w:b/>
          <w:bCs/>
          <w:color w:val="auto"/>
          <w:sz w:val="32"/>
          <w:szCs w:val="32"/>
          <w:highlight w:val="none"/>
        </w:rPr>
      </w:pPr>
      <w:bookmarkStart w:id="491" w:name="_Toc6099"/>
      <w:bookmarkStart w:id="492" w:name="_Toc20153"/>
      <w:bookmarkStart w:id="493" w:name="_Toc10720"/>
      <w:bookmarkStart w:id="494" w:name="_Toc24935"/>
      <w:r>
        <w:rPr>
          <w:rFonts w:hint="eastAsia" w:ascii="黑体" w:hAnsi="黑体" w:eastAsia="黑体" w:cs="黑体"/>
          <w:color w:val="auto"/>
          <w:sz w:val="32"/>
          <w:szCs w:val="32"/>
          <w:highlight w:val="none"/>
        </w:rPr>
        <w:t>第九章 再生资源网点规划保障措施</w:t>
      </w:r>
      <w:bookmarkEnd w:id="486"/>
      <w:bookmarkEnd w:id="487"/>
      <w:bookmarkEnd w:id="488"/>
      <w:bookmarkEnd w:id="489"/>
      <w:bookmarkEnd w:id="490"/>
      <w:bookmarkEnd w:id="491"/>
      <w:bookmarkEnd w:id="492"/>
      <w:bookmarkEnd w:id="493"/>
      <w:bookmarkEnd w:id="494"/>
      <w:bookmarkStart w:id="495" w:name="_Toc28501"/>
      <w:bookmarkStart w:id="496" w:name="_Toc926"/>
      <w:bookmarkStart w:id="497" w:name="_Toc14124"/>
      <w:bookmarkStart w:id="498" w:name="_Toc1010"/>
      <w:bookmarkStart w:id="499" w:name="_Toc15435"/>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500" w:name="_Toc10835"/>
      <w:bookmarkStart w:id="501" w:name="_Toc13644"/>
      <w:bookmarkStart w:id="502" w:name="_Toc18819"/>
      <w:bookmarkStart w:id="503" w:name="_Toc32068"/>
      <w:r>
        <w:rPr>
          <w:rFonts w:hint="eastAsia" w:ascii="黑体" w:hAnsi="黑体" w:eastAsia="黑体" w:cs="黑体"/>
          <w:b w:val="0"/>
          <w:bCs w:val="0"/>
          <w:color w:val="auto"/>
          <w:sz w:val="32"/>
          <w:szCs w:val="32"/>
          <w:highlight w:val="none"/>
          <w:lang w:val="en-US" w:eastAsia="zh-CN"/>
        </w:rPr>
        <w:t>一、</w:t>
      </w:r>
      <w:r>
        <w:rPr>
          <w:rFonts w:hint="eastAsia" w:ascii="黑体" w:hAnsi="黑体" w:eastAsia="黑体" w:cs="黑体"/>
          <w:b w:val="0"/>
          <w:bCs w:val="0"/>
          <w:color w:val="auto"/>
          <w:sz w:val="32"/>
          <w:szCs w:val="32"/>
          <w:highlight w:val="none"/>
        </w:rPr>
        <w:t>加强</w:t>
      </w:r>
      <w:bookmarkEnd w:id="495"/>
      <w:bookmarkEnd w:id="496"/>
      <w:r>
        <w:rPr>
          <w:rFonts w:hint="eastAsia" w:ascii="黑体" w:hAnsi="黑体" w:eastAsia="黑体" w:cs="黑体"/>
          <w:b w:val="0"/>
          <w:bCs w:val="0"/>
          <w:color w:val="auto"/>
          <w:sz w:val="32"/>
          <w:szCs w:val="32"/>
          <w:highlight w:val="none"/>
          <w:lang w:val="en-US" w:eastAsia="zh-CN"/>
        </w:rPr>
        <w:t>组织保障</w:t>
      </w:r>
      <w:bookmarkEnd w:id="497"/>
      <w:bookmarkEnd w:id="498"/>
      <w:bookmarkEnd w:id="499"/>
      <w:bookmarkEnd w:id="500"/>
      <w:bookmarkEnd w:id="501"/>
      <w:bookmarkEnd w:id="502"/>
      <w:bookmarkEnd w:id="503"/>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bookmarkStart w:id="504" w:name="_Toc3057"/>
      <w:bookmarkStart w:id="505" w:name="_Toc11692"/>
      <w:bookmarkStart w:id="506" w:name="_Toc28823"/>
      <w:bookmarkStart w:id="507" w:name="_Toc26151"/>
      <w:bookmarkStart w:id="508" w:name="_Toc2958"/>
      <w:r>
        <w:rPr>
          <w:rFonts w:hint="eastAsia" w:ascii="仿宋_GB2312" w:hAnsi="仿宋_GB2312" w:eastAsia="仿宋_GB2312" w:cs="仿宋_GB2312"/>
          <w:b w:val="0"/>
          <w:bCs w:val="0"/>
          <w:color w:val="auto"/>
          <w:sz w:val="32"/>
          <w:szCs w:val="32"/>
          <w:highlight w:val="none"/>
          <w:lang w:val="en-US" w:eastAsia="zh-CN"/>
        </w:rPr>
        <w:t>清城区工业和信息化局、清城区城市管理和综合执法局、清城区供销合作社、清城区发展和改革局、清远市公安局清城分局、清远市自然资源局清城分局、清城区住房和城乡建设局、清城区农业农村局、清远市生态环境局清城分局、清城区市场监督管理局、清城区消防救援大队等职能部门应积极开展再生资源回收网点体系建设工作，推动再生资源回收处理行业规范发展，指导行业自律发展，组织实施资源节约和综合利用新技术，加强再生资源回收处理行业的治安管理、环境监管、安全生产以及消防安全监管，提升清城区再生资源回收处理产业化经营水平。</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各镇人民政府、各街道办事处根据规划目标制定本区域内的具体措施，落实再生资源回收处理工作。</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default"/>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各居民委员会、村民委员会组织开展生活垃圾分类投放、再生资源回收收集等工作，住宅小区业主委员会监督和协助物业服务人员履行再生资源回收管理责任人职责，做好物业管理区域的再生资源回收管理工作。居民委员会、村民委员会协助政府及其相关职能部门做好再生资源回收管理工作，推动将生活垃圾分类投放、再生资源回收收集等内容纳入居民公约或者村规民约。</w:t>
      </w:r>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eastAsia="zh-CN"/>
        </w:rPr>
      </w:pPr>
      <w:bookmarkStart w:id="509" w:name="_Toc12729"/>
      <w:bookmarkStart w:id="510" w:name="_Toc25328"/>
      <w:bookmarkStart w:id="511" w:name="_Toc24622"/>
      <w:bookmarkStart w:id="512" w:name="_Toc11925"/>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完善政策</w:t>
      </w:r>
      <w:bookmarkEnd w:id="504"/>
      <w:bookmarkEnd w:id="505"/>
      <w:r>
        <w:rPr>
          <w:rFonts w:hint="eastAsia" w:ascii="黑体" w:hAnsi="黑体" w:eastAsia="黑体" w:cs="黑体"/>
          <w:b w:val="0"/>
          <w:bCs w:val="0"/>
          <w:color w:val="auto"/>
          <w:sz w:val="32"/>
          <w:szCs w:val="32"/>
          <w:highlight w:val="none"/>
          <w:lang w:val="en-US" w:eastAsia="zh-CN"/>
        </w:rPr>
        <w:t>支持</w:t>
      </w:r>
      <w:bookmarkEnd w:id="506"/>
      <w:bookmarkEnd w:id="507"/>
      <w:bookmarkEnd w:id="508"/>
      <w:bookmarkEnd w:id="509"/>
      <w:bookmarkEnd w:id="510"/>
      <w:bookmarkEnd w:id="511"/>
      <w:bookmarkEnd w:id="512"/>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b w:val="0"/>
          <w:bCs w:val="0"/>
          <w:color w:val="auto"/>
          <w:sz w:val="32"/>
          <w:szCs w:val="32"/>
          <w:highlight w:val="none"/>
          <w:lang w:val="en-US" w:eastAsia="zh-CN"/>
        </w:rPr>
        <w:t>一是</w:t>
      </w:r>
      <w:r>
        <w:rPr>
          <w:rFonts w:hint="eastAsia" w:ascii="仿宋_GB2312" w:hAnsi="仿宋_GB2312" w:eastAsia="仿宋_GB2312" w:cs="仿宋_GB2312"/>
          <w:b w:val="0"/>
          <w:bCs w:val="0"/>
          <w:color w:val="auto"/>
          <w:sz w:val="32"/>
          <w:szCs w:val="32"/>
          <w:highlight w:val="none"/>
        </w:rPr>
        <w:t>解决税</w:t>
      </w:r>
      <w:r>
        <w:rPr>
          <w:rFonts w:hint="eastAsia" w:ascii="仿宋_GB2312" w:hAnsi="仿宋_GB2312" w:eastAsia="仿宋_GB2312" w:cs="仿宋_GB2312"/>
          <w:b w:val="0"/>
          <w:bCs w:val="0"/>
          <w:color w:val="auto"/>
          <w:sz w:val="32"/>
          <w:szCs w:val="32"/>
          <w:highlight w:val="none"/>
          <w:lang w:val="en-US" w:eastAsia="zh-CN"/>
        </w:rPr>
        <w:t>收政策</w:t>
      </w:r>
      <w:r>
        <w:rPr>
          <w:rFonts w:hint="eastAsia" w:ascii="仿宋_GB2312" w:hAnsi="仿宋_GB2312" w:eastAsia="仿宋_GB2312" w:cs="仿宋_GB2312"/>
          <w:b w:val="0"/>
          <w:bCs w:val="0"/>
          <w:color w:val="auto"/>
          <w:sz w:val="32"/>
          <w:szCs w:val="32"/>
          <w:highlight w:val="none"/>
        </w:rPr>
        <w:t>问题。</w:t>
      </w:r>
      <w:r>
        <w:rPr>
          <w:rFonts w:hint="eastAsia" w:ascii="仿宋_GB2312" w:hAnsi="仿宋_GB2312" w:eastAsia="仿宋_GB2312" w:cs="仿宋_GB2312"/>
          <w:b w:val="0"/>
          <w:bCs w:val="0"/>
          <w:color w:val="auto"/>
          <w:sz w:val="32"/>
          <w:szCs w:val="32"/>
          <w:highlight w:val="none"/>
          <w:lang w:val="en-US" w:eastAsia="zh-CN"/>
        </w:rPr>
        <w:t>再生资源</w:t>
      </w:r>
      <w:r>
        <w:rPr>
          <w:rFonts w:hint="eastAsia" w:ascii="仿宋_GB2312" w:hAnsi="仿宋_GB2312" w:eastAsia="仿宋_GB2312" w:cs="仿宋_GB2312"/>
          <w:b w:val="0"/>
          <w:bCs w:val="0"/>
          <w:color w:val="auto"/>
          <w:sz w:val="32"/>
          <w:szCs w:val="32"/>
          <w:highlight w:val="none"/>
        </w:rPr>
        <w:t>回收环节的税收增值税发票问题长期困扰着行业发展。</w:t>
      </w:r>
      <w:r>
        <w:rPr>
          <w:rFonts w:hint="eastAsia" w:ascii="仿宋_GB2312" w:hAnsi="仿宋_GB2312" w:eastAsia="仿宋_GB2312" w:cs="仿宋_GB2312"/>
          <w:color w:val="auto"/>
          <w:sz w:val="32"/>
          <w:szCs w:val="32"/>
          <w:highlight w:val="none"/>
          <w:lang w:val="en-US" w:eastAsia="zh-CN"/>
        </w:rPr>
        <w:t>针对再生资源回收处理企业</w:t>
      </w:r>
      <w:r>
        <w:rPr>
          <w:rFonts w:hint="eastAsia" w:ascii="仿宋_GB2312" w:hAnsi="仿宋_GB2312" w:eastAsia="仿宋_GB2312" w:cs="仿宋_GB2312"/>
          <w:color w:val="auto"/>
          <w:sz w:val="32"/>
          <w:szCs w:val="32"/>
          <w:highlight w:val="none"/>
        </w:rPr>
        <w:t>普遍存在的进项成本无法认定而需要全额缴纳所得税和增值税的难题，探索以可追溯、可监测、可核查的</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管理与交易平台收购数据作为回收企业的进项成本认定依据，据此核算其需要缴纳的企业所得税</w:t>
      </w:r>
      <w:r>
        <w:rPr>
          <w:rFonts w:hint="eastAsia" w:ascii="仿宋_GB2312" w:hAnsi="仿宋_GB2312" w:eastAsia="仿宋_GB2312" w:cs="仿宋_GB2312"/>
          <w:color w:val="auto"/>
          <w:sz w:val="32"/>
          <w:szCs w:val="32"/>
          <w:highlight w:val="none"/>
          <w:lang w:val="en-US" w:eastAsia="zh-CN"/>
        </w:rPr>
        <w:t>和增值税，完善行业税收流程。</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是解决用地问题。再生资源回收具有公共服务特性和公益属性，要将再生资源回收网点纳入城市规划，将再生资源回收体系建设用地纳入土地利用总体规划。依托“两网融合”，把城市生活垃圾分类设施和再生资源回收处理用地等专项规划整合，一并纳入城市建设用地规划。利用旧厂、旧学校、旧村改造，违法建设拆除，“散乱污”企业和场所整治等重点工作，优先安排再生资源社区回收网点用地。</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三是落实绿色采购政策</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针对社会对</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循环利用产品接受程度弱的现象，制定政府绿色</w:t>
      </w:r>
      <w:r>
        <w:rPr>
          <w:rFonts w:hint="eastAsia" w:ascii="仿宋_GB2312" w:hAnsi="仿宋_GB2312" w:eastAsia="仿宋_GB2312" w:cs="仿宋_GB2312"/>
          <w:color w:val="auto"/>
          <w:sz w:val="32"/>
          <w:szCs w:val="32"/>
          <w:highlight w:val="none"/>
          <w:lang w:val="en-US" w:eastAsia="zh-CN"/>
        </w:rPr>
        <w:t>采</w:t>
      </w:r>
      <w:r>
        <w:rPr>
          <w:rFonts w:hint="eastAsia" w:ascii="仿宋_GB2312" w:hAnsi="仿宋_GB2312" w:eastAsia="仿宋_GB2312" w:cs="仿宋_GB2312"/>
          <w:color w:val="auto"/>
          <w:sz w:val="32"/>
          <w:szCs w:val="32"/>
          <w:highlight w:val="none"/>
        </w:rPr>
        <w:t>购政策和绿色</w:t>
      </w:r>
      <w:r>
        <w:rPr>
          <w:rFonts w:hint="eastAsia" w:ascii="仿宋_GB2312" w:hAnsi="仿宋_GB2312" w:eastAsia="仿宋_GB2312" w:cs="仿宋_GB2312"/>
          <w:color w:val="auto"/>
          <w:sz w:val="32"/>
          <w:szCs w:val="32"/>
          <w:highlight w:val="none"/>
          <w:lang w:val="en-US" w:eastAsia="zh-CN"/>
        </w:rPr>
        <w:t>采</w:t>
      </w:r>
      <w:r>
        <w:rPr>
          <w:rFonts w:hint="eastAsia" w:ascii="仿宋_GB2312" w:hAnsi="仿宋_GB2312" w:eastAsia="仿宋_GB2312" w:cs="仿宋_GB2312"/>
          <w:color w:val="auto"/>
          <w:sz w:val="32"/>
          <w:szCs w:val="32"/>
          <w:highlight w:val="none"/>
        </w:rPr>
        <w:t>购产品目录，加强</w:t>
      </w:r>
      <w:r>
        <w:rPr>
          <w:rFonts w:hint="eastAsia" w:ascii="仿宋_GB2312" w:hAnsi="仿宋_GB2312" w:eastAsia="仿宋_GB2312" w:cs="仿宋_GB2312"/>
          <w:color w:val="auto"/>
          <w:sz w:val="32"/>
          <w:szCs w:val="32"/>
          <w:highlight w:val="none"/>
          <w:lang w:val="en-US" w:eastAsia="zh-CN"/>
        </w:rPr>
        <w:t>对再生资源循环利用生产企业</w:t>
      </w:r>
      <w:r>
        <w:rPr>
          <w:rFonts w:hint="eastAsia" w:ascii="仿宋_GB2312" w:hAnsi="仿宋_GB2312" w:eastAsia="仿宋_GB2312" w:cs="仿宋_GB2312"/>
          <w:color w:val="auto"/>
          <w:sz w:val="32"/>
          <w:szCs w:val="32"/>
          <w:highlight w:val="none"/>
        </w:rPr>
        <w:t>的质量</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安全管理制度建设，加强引导宣传，重点支持</w:t>
      </w:r>
      <w:r>
        <w:rPr>
          <w:rFonts w:hint="eastAsia" w:ascii="仿宋_GB2312" w:hAnsi="仿宋_GB2312" w:eastAsia="仿宋_GB2312" w:cs="仿宋_GB2312"/>
          <w:color w:val="auto"/>
          <w:sz w:val="32"/>
          <w:szCs w:val="32"/>
          <w:highlight w:val="none"/>
          <w:lang w:val="en-US" w:eastAsia="zh-CN"/>
        </w:rPr>
        <w:t>再生资源，尤其是</w:t>
      </w:r>
      <w:r>
        <w:rPr>
          <w:rFonts w:hint="eastAsia" w:ascii="仿宋_GB2312" w:hAnsi="仿宋_GB2312" w:eastAsia="仿宋_GB2312" w:cs="仿宋_GB2312"/>
          <w:color w:val="auto"/>
          <w:sz w:val="32"/>
          <w:szCs w:val="32"/>
          <w:highlight w:val="none"/>
        </w:rPr>
        <w:t>低值</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的资源化利用产品，以及其他节能环保产品，增强社会大众对</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质量安全的信心，扩大</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原料和制品的市场，带动社会公众参与消费。</w:t>
      </w:r>
      <w:bookmarkStart w:id="513" w:name="_Toc27102"/>
      <w:bookmarkStart w:id="514" w:name="_Toc29901"/>
      <w:bookmarkStart w:id="515" w:name="_Toc27976"/>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516" w:name="_Toc22569"/>
      <w:bookmarkStart w:id="517" w:name="_Toc8230"/>
      <w:bookmarkStart w:id="518" w:name="_Toc18855"/>
      <w:bookmarkStart w:id="519" w:name="_Toc2663"/>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创新</w:t>
      </w:r>
      <w:r>
        <w:rPr>
          <w:rFonts w:hint="eastAsia" w:ascii="黑体" w:hAnsi="黑体" w:eastAsia="黑体" w:cs="黑体"/>
          <w:b w:val="0"/>
          <w:bCs w:val="0"/>
          <w:color w:val="auto"/>
          <w:sz w:val="32"/>
          <w:szCs w:val="32"/>
          <w:highlight w:val="none"/>
          <w:lang w:val="en-US" w:eastAsia="zh-CN"/>
        </w:rPr>
        <w:t>商业模式</w:t>
      </w:r>
      <w:bookmarkEnd w:id="513"/>
      <w:bookmarkEnd w:id="514"/>
      <w:bookmarkEnd w:id="515"/>
      <w:bookmarkEnd w:id="516"/>
      <w:bookmarkEnd w:id="517"/>
      <w:bookmarkEnd w:id="518"/>
      <w:bookmarkEnd w:id="519"/>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鼓励再生资源回收利用主体创新商业模式。一方面，通过嵌入式对接服务、逆向回收、“互联网+回收”等模式拓宽回收渠道；另一方面，支持企业利用互联网、大数据和云计算等现代信息技术和手段，建立大数据信息收集，打造“互联网＋物联网＋线上交易＋金融服务”平台，实现以电子商务为主导，覆盖信息发布、竞价交易、线上结算、仓储物流等功能的综合服务，促进再生资源交易高效、阳光、专业，优化再生资源回收利用产业链，为优质再生资源重新赋能。</w:t>
      </w:r>
      <w:bookmarkStart w:id="520" w:name="_Toc22871"/>
      <w:bookmarkStart w:id="521" w:name="_Toc29807"/>
      <w:bookmarkStart w:id="522" w:name="_Toc9609"/>
      <w:bookmarkStart w:id="523" w:name="_Toc15555"/>
      <w:bookmarkStart w:id="524" w:name="_Toc11495"/>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rPr>
      </w:pPr>
      <w:bookmarkStart w:id="525" w:name="_Toc2309"/>
      <w:bookmarkStart w:id="526" w:name="_Toc12183"/>
      <w:bookmarkStart w:id="527" w:name="_Toc1438"/>
      <w:bookmarkStart w:id="528" w:name="_Toc25224"/>
      <w:r>
        <w:rPr>
          <w:rFonts w:hint="eastAsia" w:ascii="黑体" w:hAnsi="黑体" w:eastAsia="黑体" w:cs="黑体"/>
          <w:b w:val="0"/>
          <w:bCs w:val="0"/>
          <w:color w:val="auto"/>
          <w:sz w:val="32"/>
          <w:szCs w:val="32"/>
          <w:highlight w:val="none"/>
          <w:lang w:val="en-US" w:eastAsia="zh-CN"/>
        </w:rPr>
        <w:t>四、加强</w:t>
      </w:r>
      <w:r>
        <w:rPr>
          <w:rFonts w:hint="eastAsia" w:ascii="黑体" w:hAnsi="黑体" w:eastAsia="黑体" w:cs="黑体"/>
          <w:b w:val="0"/>
          <w:bCs w:val="0"/>
          <w:color w:val="auto"/>
          <w:sz w:val="32"/>
          <w:szCs w:val="32"/>
          <w:highlight w:val="none"/>
        </w:rPr>
        <w:t>技术</w:t>
      </w:r>
      <w:bookmarkEnd w:id="520"/>
      <w:bookmarkEnd w:id="521"/>
      <w:r>
        <w:rPr>
          <w:rFonts w:hint="eastAsia" w:ascii="黑体" w:hAnsi="黑体" w:eastAsia="黑体" w:cs="黑体"/>
          <w:b w:val="0"/>
          <w:bCs w:val="0"/>
          <w:color w:val="auto"/>
          <w:sz w:val="32"/>
          <w:szCs w:val="32"/>
          <w:highlight w:val="none"/>
        </w:rPr>
        <w:t>创新</w:t>
      </w:r>
      <w:bookmarkEnd w:id="522"/>
      <w:bookmarkEnd w:id="523"/>
      <w:bookmarkEnd w:id="524"/>
      <w:bookmarkEnd w:id="525"/>
      <w:bookmarkEnd w:id="526"/>
      <w:bookmarkEnd w:id="527"/>
      <w:bookmarkEnd w:id="528"/>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一是</w:t>
      </w:r>
      <w:r>
        <w:rPr>
          <w:rFonts w:hint="eastAsia" w:ascii="仿宋_GB2312" w:hAnsi="仿宋_GB2312" w:eastAsia="仿宋_GB2312" w:cs="仿宋_GB2312"/>
          <w:color w:val="auto"/>
          <w:sz w:val="32"/>
          <w:szCs w:val="32"/>
          <w:highlight w:val="none"/>
        </w:rPr>
        <w:t>加强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回收处理技术创新。</w:t>
      </w:r>
      <w:r>
        <w:rPr>
          <w:rFonts w:hint="eastAsia" w:ascii="仿宋_GB2312" w:hAnsi="仿宋_GB2312" w:eastAsia="仿宋_GB2312" w:cs="仿宋_GB2312"/>
          <w:color w:val="auto"/>
          <w:sz w:val="32"/>
          <w:szCs w:val="32"/>
          <w:highlight w:val="none"/>
          <w:lang w:val="en-US" w:eastAsia="zh-CN"/>
        </w:rPr>
        <w:t>依托产学研技术创新联盟等平台载体，推动区内再生资源回收利用企业与国内知名高校院所开展产学研合作</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鼓励支持区内重点企业，</w:t>
      </w:r>
      <w:r>
        <w:rPr>
          <w:rFonts w:hint="eastAsia" w:ascii="仿宋_GB2312" w:hAnsi="仿宋_GB2312" w:eastAsia="仿宋_GB2312" w:cs="仿宋_GB2312"/>
          <w:color w:val="auto"/>
          <w:sz w:val="32"/>
          <w:szCs w:val="32"/>
          <w:highlight w:val="none"/>
        </w:rPr>
        <w:t>联合行业协会、</w:t>
      </w:r>
      <w:r>
        <w:rPr>
          <w:rFonts w:hint="eastAsia" w:ascii="仿宋_GB2312" w:hAnsi="仿宋_GB2312" w:eastAsia="仿宋_GB2312" w:cs="仿宋_GB2312"/>
          <w:color w:val="auto"/>
          <w:sz w:val="32"/>
          <w:szCs w:val="32"/>
          <w:highlight w:val="none"/>
          <w:lang w:val="en-US" w:eastAsia="zh-CN"/>
        </w:rPr>
        <w:t>高校院所等</w:t>
      </w:r>
      <w:r>
        <w:rPr>
          <w:rFonts w:hint="eastAsia" w:ascii="仿宋_GB2312" w:hAnsi="仿宋_GB2312" w:eastAsia="仿宋_GB2312" w:cs="仿宋_GB2312"/>
          <w:color w:val="auto"/>
          <w:sz w:val="32"/>
          <w:szCs w:val="32"/>
          <w:highlight w:val="none"/>
        </w:rPr>
        <w:t>，筹建清城区</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技术研发中心，对</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回收处理利用环节重点、难点技术进行攻关。</w:t>
      </w:r>
      <w:r>
        <w:rPr>
          <w:rFonts w:hint="eastAsia" w:ascii="仿宋_GB2312" w:hAnsi="仿宋_GB2312" w:eastAsia="仿宋_GB2312" w:cs="仿宋_GB2312"/>
          <w:color w:val="auto"/>
          <w:sz w:val="32"/>
          <w:szCs w:val="32"/>
          <w:highlight w:val="none"/>
          <w:lang w:val="en-US" w:eastAsia="zh-CN"/>
        </w:rPr>
        <w:t>以</w:t>
      </w:r>
      <w:r>
        <w:rPr>
          <w:rFonts w:hint="eastAsia" w:ascii="仿宋_GB2312" w:hAnsi="仿宋_GB2312" w:eastAsia="仿宋_GB2312" w:cs="仿宋_GB2312"/>
          <w:color w:val="auto"/>
          <w:sz w:val="32"/>
          <w:szCs w:val="32"/>
          <w:highlight w:val="none"/>
        </w:rPr>
        <w:t>清城区</w:t>
      </w:r>
      <w:r>
        <w:rPr>
          <w:rFonts w:hint="eastAsia" w:ascii="仿宋_GB2312" w:hAnsi="仿宋_GB2312" w:eastAsia="仿宋_GB2312" w:cs="仿宋_GB2312"/>
          <w:color w:val="auto"/>
          <w:sz w:val="32"/>
          <w:szCs w:val="32"/>
          <w:highlight w:val="none"/>
          <w:lang w:val="en-US" w:eastAsia="zh-CN"/>
        </w:rPr>
        <w:t>再生资源回收利用的龙头企业为示范，定期组织区内企业进行参观考察、技术交流与对接，推动</w:t>
      </w:r>
      <w:r>
        <w:rPr>
          <w:rFonts w:hint="eastAsia" w:ascii="仿宋_GB2312" w:hAnsi="仿宋_GB2312" w:eastAsia="仿宋_GB2312" w:cs="仿宋_GB2312"/>
          <w:color w:val="auto"/>
          <w:sz w:val="32"/>
          <w:szCs w:val="32"/>
          <w:highlight w:val="none"/>
        </w:rPr>
        <w:t>实现</w:t>
      </w:r>
      <w:r>
        <w:rPr>
          <w:rFonts w:hint="eastAsia" w:ascii="仿宋_GB2312" w:hAnsi="仿宋_GB2312" w:eastAsia="仿宋_GB2312" w:cs="仿宋_GB2312"/>
          <w:color w:val="auto"/>
          <w:sz w:val="32"/>
          <w:szCs w:val="32"/>
          <w:highlight w:val="none"/>
          <w:lang w:val="en-US" w:eastAsia="zh-CN"/>
        </w:rPr>
        <w:t>再生资源</w:t>
      </w:r>
      <w:r>
        <w:rPr>
          <w:rFonts w:hint="eastAsia" w:ascii="仿宋_GB2312" w:hAnsi="仿宋_GB2312" w:eastAsia="仿宋_GB2312" w:cs="仿宋_GB2312"/>
          <w:color w:val="auto"/>
          <w:sz w:val="32"/>
          <w:szCs w:val="32"/>
          <w:highlight w:val="none"/>
        </w:rPr>
        <w:t>回收利用技术的推广应用。</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是鼓励企业开发应用采用现代信息技术实现废物回收线上与线下有机结合，利用回收利用互联网、APP搭建预约回收平台，开展网上预约、电话预约、微信公众号预约上门回收服务；会同市政务服务数据管理部门支持回收企业依托“粤省事”“粤商通”建立与居民之间线上对接渠道。</w:t>
      </w:r>
      <w:bookmarkStart w:id="529" w:name="_Toc8623"/>
      <w:bookmarkStart w:id="530" w:name="_Toc19158"/>
      <w:bookmarkStart w:id="531" w:name="_Toc23769"/>
      <w:bookmarkStart w:id="532" w:name="_Toc481"/>
      <w:bookmarkStart w:id="533" w:name="_Toc7055"/>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534" w:name="_Toc19396"/>
      <w:bookmarkStart w:id="535" w:name="_Toc4397"/>
      <w:bookmarkStart w:id="536" w:name="_Toc25593"/>
      <w:bookmarkStart w:id="537" w:name="_Toc1965"/>
      <w:r>
        <w:rPr>
          <w:rFonts w:hint="eastAsia" w:ascii="黑体" w:hAnsi="黑体" w:eastAsia="黑体" w:cs="黑体"/>
          <w:b w:val="0"/>
          <w:bCs w:val="0"/>
          <w:color w:val="auto"/>
          <w:sz w:val="32"/>
          <w:szCs w:val="32"/>
          <w:highlight w:val="none"/>
          <w:lang w:val="en-US" w:eastAsia="zh-CN"/>
        </w:rPr>
        <w:t>五、打造标杆示范</w:t>
      </w:r>
      <w:bookmarkEnd w:id="529"/>
      <w:bookmarkEnd w:id="530"/>
      <w:bookmarkEnd w:id="531"/>
      <w:bookmarkEnd w:id="534"/>
      <w:bookmarkEnd w:id="535"/>
      <w:bookmarkEnd w:id="536"/>
      <w:bookmarkEnd w:id="537"/>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开展</w:t>
      </w:r>
      <w:r>
        <w:rPr>
          <w:rFonts w:hint="eastAsia" w:ascii="仿宋_GB2312" w:hAnsi="仿宋_GB2312" w:eastAsia="仿宋_GB2312" w:cs="仿宋_GB2312"/>
          <w:color w:val="auto"/>
          <w:sz w:val="32"/>
          <w:szCs w:val="32"/>
          <w:highlight w:val="none"/>
          <w:lang w:val="en-US" w:eastAsia="zh-CN"/>
        </w:rPr>
        <w:t>重点</w:t>
      </w:r>
      <w:r>
        <w:rPr>
          <w:rFonts w:hint="eastAsia" w:ascii="仿宋_GB2312" w:hAnsi="仿宋_GB2312" w:eastAsia="仿宋_GB2312" w:cs="仿宋_GB2312"/>
          <w:color w:val="auto"/>
          <w:sz w:val="32"/>
          <w:szCs w:val="32"/>
          <w:highlight w:val="none"/>
        </w:rPr>
        <w:t>品种再生资源回收利用示范。一是提升快递包装废弃物再利用水平，鼓励快递企业和各类环卫企业、回收企业联合开展“快递业＋回收业”定向合作试点，鼓励企业对包装箱、总包袋进行循环利用，提高循环利用率。二是</w:t>
      </w:r>
      <w:r>
        <w:rPr>
          <w:rFonts w:hint="eastAsia" w:ascii="仿宋_GB2312" w:hAnsi="仿宋_GB2312" w:eastAsia="仿宋_GB2312" w:cs="仿宋_GB2312"/>
          <w:color w:val="auto"/>
          <w:sz w:val="32"/>
          <w:szCs w:val="32"/>
          <w:highlight w:val="none"/>
          <w:lang w:val="en-US" w:eastAsia="zh-CN"/>
        </w:rPr>
        <w:t>政府机关、学校、大型商业综合体、商业楼宇依托再生资源智能化全品类回收箱，实施再生资源分类回收工作，设立再生资源回收参与者绿色账户，建立健全绿色低碳环保的楼宇管理体系，做好公共示范</w:t>
      </w:r>
      <w:r>
        <w:rPr>
          <w:rFonts w:hint="eastAsia" w:ascii="仿宋_GB2312" w:hAnsi="仿宋_GB2312" w:eastAsia="仿宋_GB2312" w:cs="仿宋_GB2312"/>
          <w:color w:val="auto"/>
          <w:sz w:val="32"/>
          <w:szCs w:val="32"/>
          <w:highlight w:val="none"/>
        </w:rPr>
        <w:t>。三是推进废旧纺织品资源化利用。以生活垃圾分类为契机，建立包括固定回收箱、再生资源智能化全品类回收箱、“互联网＋回收”等多种方式的回收渠道，推动</w:t>
      </w:r>
      <w:r>
        <w:rPr>
          <w:rFonts w:hint="eastAsia" w:ascii="仿宋_GB2312" w:hAnsi="仿宋_GB2312" w:eastAsia="仿宋_GB2312" w:cs="仿宋_GB2312"/>
          <w:color w:val="auto"/>
          <w:sz w:val="32"/>
          <w:szCs w:val="32"/>
          <w:highlight w:val="none"/>
          <w:lang w:val="en-US" w:eastAsia="zh-CN"/>
        </w:rPr>
        <w:t>公务制服、</w:t>
      </w:r>
      <w:r>
        <w:rPr>
          <w:rFonts w:hint="eastAsia" w:ascii="仿宋_GB2312" w:hAnsi="仿宋_GB2312" w:eastAsia="仿宋_GB2312" w:cs="仿宋_GB2312"/>
          <w:color w:val="auto"/>
          <w:sz w:val="32"/>
          <w:szCs w:val="32"/>
          <w:highlight w:val="none"/>
        </w:rPr>
        <w:t>职业工装、校服等废旧</w:t>
      </w:r>
      <w:r>
        <w:rPr>
          <w:rFonts w:hint="eastAsia" w:ascii="仿宋_GB2312" w:hAnsi="仿宋_GB2312" w:eastAsia="仿宋_GB2312" w:cs="仿宋_GB2312"/>
          <w:color w:val="auto"/>
          <w:sz w:val="32"/>
          <w:szCs w:val="32"/>
          <w:highlight w:val="none"/>
          <w:lang w:val="en-US" w:eastAsia="zh-CN"/>
        </w:rPr>
        <w:t>衣物</w:t>
      </w:r>
      <w:r>
        <w:rPr>
          <w:rFonts w:hint="eastAsia" w:ascii="仿宋_GB2312" w:hAnsi="仿宋_GB2312" w:eastAsia="仿宋_GB2312" w:cs="仿宋_GB2312"/>
          <w:color w:val="auto"/>
          <w:sz w:val="32"/>
          <w:szCs w:val="32"/>
          <w:highlight w:val="none"/>
        </w:rPr>
        <w:t>的回收和高值化利用。</w:t>
      </w:r>
      <w:bookmarkEnd w:id="532"/>
      <w:bookmarkEnd w:id="533"/>
      <w:bookmarkStart w:id="538" w:name="_Toc20575"/>
      <w:bookmarkStart w:id="539" w:name="_Toc32158"/>
      <w:bookmarkStart w:id="540" w:name="_Toc29559"/>
    </w:p>
    <w:p>
      <w:pPr>
        <w:keepNext w:val="0"/>
        <w:keepLines w:val="0"/>
        <w:pageBreakBefore w:val="0"/>
        <w:widowControl w:val="0"/>
        <w:kinsoku/>
        <w:wordWrap/>
        <w:overflowPunct/>
        <w:topLinePunct w:val="0"/>
        <w:autoSpaceDE/>
        <w:autoSpaceDN/>
        <w:bidi w:val="0"/>
        <w:adjustRightInd w:val="0"/>
        <w:snapToGrid w:val="0"/>
        <w:spacing w:before="469" w:beforeLines="150" w:line="360" w:lineRule="auto"/>
        <w:ind w:right="0" w:rightChars="0" w:firstLine="640" w:firstLineChars="200"/>
        <w:jc w:val="both"/>
        <w:textAlignment w:val="auto"/>
        <w:outlineLvl w:val="1"/>
        <w:rPr>
          <w:rFonts w:hint="eastAsia" w:ascii="黑体" w:hAnsi="黑体" w:eastAsia="黑体" w:cs="黑体"/>
          <w:b w:val="0"/>
          <w:bCs w:val="0"/>
          <w:color w:val="auto"/>
          <w:sz w:val="32"/>
          <w:szCs w:val="32"/>
          <w:highlight w:val="none"/>
          <w:lang w:val="en-US" w:eastAsia="zh-CN"/>
        </w:rPr>
      </w:pPr>
      <w:bookmarkStart w:id="541" w:name="_Toc8885"/>
      <w:bookmarkStart w:id="542" w:name="_Toc4109"/>
      <w:bookmarkStart w:id="543" w:name="_Toc29427"/>
      <w:bookmarkStart w:id="544" w:name="_Toc22736"/>
      <w:r>
        <w:rPr>
          <w:rFonts w:hint="eastAsia" w:ascii="黑体" w:hAnsi="黑体" w:eastAsia="黑体" w:cs="黑体"/>
          <w:b w:val="0"/>
          <w:bCs w:val="0"/>
          <w:color w:val="auto"/>
          <w:sz w:val="32"/>
          <w:szCs w:val="32"/>
          <w:highlight w:val="none"/>
          <w:lang w:val="en-US" w:eastAsia="zh-CN"/>
        </w:rPr>
        <w:t>六、鼓励公众参与</w:t>
      </w:r>
      <w:bookmarkEnd w:id="538"/>
      <w:bookmarkEnd w:id="539"/>
      <w:bookmarkEnd w:id="540"/>
      <w:bookmarkEnd w:id="541"/>
      <w:bookmarkEnd w:id="542"/>
      <w:bookmarkEnd w:id="543"/>
      <w:bookmarkEnd w:id="544"/>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建立由各镇（街道）牵头，宣传、团委、科协、妇联、教育、村委会（居委会）、物业管理公司等部门或机构参与的再生资源公众参与机制。</w:t>
      </w:r>
      <w:r>
        <w:rPr>
          <w:rFonts w:hint="eastAsia" w:ascii="仿宋_GB2312" w:hAnsi="仿宋_GB2312" w:eastAsia="仿宋_GB2312" w:cs="仿宋_GB2312"/>
          <w:color w:val="auto"/>
          <w:sz w:val="32"/>
          <w:szCs w:val="32"/>
          <w:highlight w:val="none"/>
        </w:rPr>
        <w:t>制定</w:t>
      </w:r>
      <w:r>
        <w:rPr>
          <w:rFonts w:hint="eastAsia" w:ascii="仿宋_GB2312" w:hAnsi="仿宋_GB2312" w:eastAsia="仿宋_GB2312" w:cs="仿宋_GB2312"/>
          <w:color w:val="auto"/>
          <w:sz w:val="32"/>
          <w:szCs w:val="32"/>
          <w:highlight w:val="none"/>
          <w:lang w:val="en-US" w:eastAsia="zh-CN"/>
        </w:rPr>
        <w:t>再生资源回收</w:t>
      </w:r>
      <w:r>
        <w:rPr>
          <w:rFonts w:hint="eastAsia" w:ascii="仿宋_GB2312" w:hAnsi="仿宋_GB2312" w:eastAsia="仿宋_GB2312" w:cs="仿宋_GB2312"/>
          <w:color w:val="auto"/>
          <w:sz w:val="32"/>
          <w:szCs w:val="32"/>
          <w:highlight w:val="none"/>
        </w:rPr>
        <w:t>宣传工作方案，指导督促宣传责任主体落实宣传工作任务，</w:t>
      </w:r>
      <w:r>
        <w:rPr>
          <w:rFonts w:hint="eastAsia" w:ascii="仿宋_GB2312" w:hAnsi="仿宋_GB2312" w:eastAsia="仿宋_GB2312" w:cs="仿宋_GB2312"/>
          <w:color w:val="auto"/>
          <w:sz w:val="32"/>
          <w:szCs w:val="32"/>
          <w:highlight w:val="none"/>
          <w:lang w:val="en-US" w:eastAsia="zh-CN"/>
        </w:rPr>
        <w:t>开展形式多样、内容丰富、直观便民的系列宣传活动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开展资源回收普法教育和针对性培训，编写宣传小册子，加强青少年宣传教育，打造当地的循环经济科普教育示范基地，向公众开放。充分利用</w:t>
      </w:r>
      <w:r>
        <w:rPr>
          <w:rFonts w:hint="eastAsia" w:ascii="仿宋_GB2312" w:hAnsi="仿宋_GB2312" w:eastAsia="仿宋_GB2312" w:cs="仿宋_GB2312"/>
          <w:color w:val="auto"/>
          <w:sz w:val="32"/>
          <w:szCs w:val="32"/>
          <w:highlight w:val="none"/>
        </w:rPr>
        <w:t>各宣传媒体</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舆论导向</w:t>
      </w:r>
      <w:r>
        <w:rPr>
          <w:rFonts w:hint="eastAsia" w:ascii="仿宋_GB2312" w:hAnsi="仿宋_GB2312" w:eastAsia="仿宋_GB2312" w:cs="仿宋_GB2312"/>
          <w:color w:val="auto"/>
          <w:sz w:val="32"/>
          <w:szCs w:val="32"/>
          <w:highlight w:val="none"/>
          <w:lang w:val="en-US" w:eastAsia="zh-CN"/>
        </w:rPr>
        <w:t>作用</w:t>
      </w:r>
      <w:r>
        <w:rPr>
          <w:rFonts w:hint="eastAsia" w:ascii="仿宋_GB2312" w:hAnsi="仿宋_GB2312" w:eastAsia="仿宋_GB2312" w:cs="仿宋_GB2312"/>
          <w:color w:val="auto"/>
          <w:sz w:val="32"/>
          <w:szCs w:val="32"/>
          <w:highlight w:val="none"/>
        </w:rPr>
        <w:t>，提高广大群众及再生资源行业从业者对节约资源、保护环境和推动社会经济协调发展的认识，</w:t>
      </w:r>
      <w:bookmarkStart w:id="545" w:name="_Toc9919"/>
      <w:bookmarkStart w:id="546" w:name="_Toc5474"/>
      <w:r>
        <w:rPr>
          <w:rFonts w:hint="eastAsia" w:ascii="仿宋_GB2312" w:hAnsi="仿宋_GB2312" w:eastAsia="仿宋_GB2312" w:cs="仿宋_GB2312"/>
          <w:color w:val="auto"/>
          <w:sz w:val="32"/>
          <w:szCs w:val="32"/>
          <w:highlight w:val="none"/>
        </w:rPr>
        <w:t>努力营造全社会重视、关心支持和积极参与再生资源回收利用</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良好氛围，促</w:t>
      </w:r>
      <w:r>
        <w:rPr>
          <w:rFonts w:hint="eastAsia" w:ascii="仿宋_GB2312" w:hAnsi="仿宋_GB2312" w:eastAsia="仿宋_GB2312" w:cs="仿宋_GB2312"/>
          <w:color w:val="auto"/>
          <w:sz w:val="32"/>
          <w:szCs w:val="32"/>
          <w:highlight w:val="none"/>
          <w:lang w:val="en-US" w:eastAsia="zh-CN"/>
        </w:rPr>
        <w:t>进</w:t>
      </w:r>
      <w:r>
        <w:rPr>
          <w:rFonts w:hint="eastAsia" w:ascii="仿宋_GB2312" w:hAnsi="仿宋_GB2312" w:eastAsia="仿宋_GB2312" w:cs="仿宋_GB2312"/>
          <w:color w:val="auto"/>
          <w:sz w:val="32"/>
          <w:szCs w:val="32"/>
          <w:highlight w:val="none"/>
        </w:rPr>
        <w:t>再生资源回收利用体系顺利建设。</w:t>
      </w:r>
      <w:bookmarkEnd w:id="545"/>
      <w:bookmarkEnd w:id="546"/>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eastAsia="仿宋_GB2312"/>
          <w:b w:val="0"/>
          <w:bCs w:val="0"/>
          <w:lang w:val="en-US" w:eastAsia="zh-CN"/>
        </w:rPr>
      </w:pPr>
      <w:r>
        <w:rPr>
          <w:rFonts w:hint="eastAsia" w:ascii="黑体" w:hAnsi="黑体" w:eastAsia="黑体" w:cs="黑体"/>
          <w:b w:val="0"/>
          <w:bCs w:val="0"/>
          <w:color w:val="auto"/>
          <w:sz w:val="32"/>
          <w:szCs w:val="32"/>
          <w:highlight w:val="none"/>
          <w:lang w:eastAsia="zh-CN"/>
        </w:rPr>
        <w:t>公开方式：</w:t>
      </w:r>
      <w:r>
        <w:rPr>
          <w:rFonts w:hint="eastAsia" w:ascii="仿宋_GB2312" w:hAnsi="仿宋_GB2312" w:eastAsia="仿宋_GB2312" w:cs="仿宋_GB2312"/>
          <w:b w:val="0"/>
          <w:bCs w:val="0"/>
          <w:color w:val="auto"/>
          <w:sz w:val="32"/>
          <w:szCs w:val="32"/>
          <w:highlight w:val="none"/>
          <w:lang w:eastAsia="zh-CN"/>
        </w:rPr>
        <w:t>主动公开</w:t>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MingLiU">
    <w:altName w:val="方正书宋_GBK"/>
    <w:panose1 w:val="02020509000000000000"/>
    <w:charset w:val="88"/>
    <w:family w:val="modern"/>
    <w:pitch w:val="default"/>
    <w:sig w:usb0="00000000" w:usb1="00000000" w:usb2="00000016" w:usb3="00000000" w:csb0="00100001" w:csb1="00000000"/>
  </w:font>
  <w:font w:name="MS Mincho">
    <w:altName w:val="方正书宋_GBK"/>
    <w:panose1 w:val="02020609040205080304"/>
    <w:charset w:val="80"/>
    <w:family w:val="modern"/>
    <w:pitch w:val="default"/>
    <w:sig w:usb0="00000000" w:usb1="00000000" w:usb2="00000012" w:usb3="00000000" w:csb0="4002009F" w:csb1="DFD70000"/>
  </w:font>
  <w:font w:name="Sylfaen">
    <w:altName w:val="方正宋体S-超大字符集(SIP)"/>
    <w:panose1 w:val="010A0502050306030303"/>
    <w:charset w:val="00"/>
    <w:family w:val="roman"/>
    <w:pitch w:val="default"/>
    <w:sig w:usb0="00000000" w:usb1="00000000" w:usb2="00000000" w:usb3="00000000" w:csb0="200000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Standard Symbols PS">
    <w:panose1 w:val="05050102010706020507"/>
    <w:charset w:val="00"/>
    <w:family w:val="auto"/>
    <w:pitch w:val="default"/>
    <w:sig w:usb0="00000003" w:usb1="00000000" w:usb2="00000000" w:usb3="00000000" w:csb0="00000001"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p>
                      </w:txbxContent>
                    </wps:txbx>
                    <wps:bodyPr vert="horz" wrap="none" lIns="0" tIns="0" rIns="0" bIns="0" anchor="t" anchorCtr="false" upright="fals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gYNcFyAEAAHwDAAAOAAAAAAAA&#10;AAEAIAAAADQBAABkcnMvZTJvRG9jLnhtbFBLBQYAAAAABgAGAFkBAABuBQAAAAA=&#10;">
              <v:fill on="f" focussize="0,0"/>
              <v:stroke on="f"/>
              <v:imagedata o:title=""/>
              <o:lock v:ext="edit" aspectratio="f"/>
              <v:textbox inset="0mm,0mm,0mm,0mm" style="mso-fit-shape-to-text:t;">
                <w:txbxContent>
                  <w:p>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rPr>
                              <w:rFonts w:hint="eastAsia"/>
                              <w:lang w:eastAsia="zh-CN"/>
                            </w:rPr>
                          </w:pPr>
                        </w:p>
                      </w:txbxContent>
                    </wps:txbx>
                    <wps:bodyPr vert="horz" wrap="none" lIns="0" tIns="0" rIns="0" bIns="0" anchor="t" anchorCtr="false" upright="false">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Z38pa8kBAAB7AwAADgAAAAAA&#10;AAABACAAAAA0AQAAZHJzL2Uyb0RvYy54bWxQSwUGAAAAAAYABgBZAQAAbw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- 5 -</w:t>
                          </w:r>
                          <w:r>
                            <w:rPr>
                              <w:rFonts w:hint="eastAsia" w:ascii="仿宋_GB2312" w:hAnsi="仿宋_GB2312" w:eastAsia="仿宋_GB2312" w:cs="仿宋_GB2312"/>
                              <w:sz w:val="28"/>
                              <w:szCs w:val="28"/>
                              <w:lang w:eastAsia="zh-CN"/>
                            </w:rPr>
                            <w:fldChar w:fldCharType="end"/>
                          </w:r>
                        </w:p>
                      </w:txbxContent>
                    </wps:txbx>
                    <wps:bodyPr vert="horz" wrap="none" lIns="0" tIns="0" rIns="0" bIns="0" anchor="t" anchorCtr="false" upright="false">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Br6+pnyAEAAHwDAAAOAAAAAAAA&#10;AAEAIAAAADQBAABkcnMvZTJvRG9jLnhtbFBLBQYAAAAABgAGAFkBAABuBQAAAAA=&#10;">
              <v:fill on="f" focussize="0,0"/>
              <v:stroke on="f"/>
              <v:imagedata o:title=""/>
              <o:lock v:ext="edit" aspectratio="f"/>
              <v:textbox inset="0mm,0mm,0mm,0mm" style="mso-fit-shape-to-text:t;">
                <w:txbxContent>
                  <w:p>
                    <w:pPr>
                      <w:pStyle w:val="5"/>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- 5 -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jYmVmZWRhNTBkYTJiYzhiMWEwNmYzYjY4YjgxYjYifQ=="/>
  </w:docVars>
  <w:rsids>
    <w:rsidRoot w:val="00172A27"/>
    <w:rsid w:val="002D07EB"/>
    <w:rsid w:val="004C040B"/>
    <w:rsid w:val="00725CE9"/>
    <w:rsid w:val="00A62E20"/>
    <w:rsid w:val="00D140E4"/>
    <w:rsid w:val="00DF410D"/>
    <w:rsid w:val="00EC6C68"/>
    <w:rsid w:val="013730A5"/>
    <w:rsid w:val="013F1975"/>
    <w:rsid w:val="01604671"/>
    <w:rsid w:val="02245CB3"/>
    <w:rsid w:val="023F66B6"/>
    <w:rsid w:val="025C7268"/>
    <w:rsid w:val="02BB5317"/>
    <w:rsid w:val="02BC36E9"/>
    <w:rsid w:val="02CE6113"/>
    <w:rsid w:val="02E35EDF"/>
    <w:rsid w:val="030B4463"/>
    <w:rsid w:val="036D30C1"/>
    <w:rsid w:val="039B5C43"/>
    <w:rsid w:val="039E1A38"/>
    <w:rsid w:val="03C527A5"/>
    <w:rsid w:val="044730A1"/>
    <w:rsid w:val="045D4C24"/>
    <w:rsid w:val="04801E7D"/>
    <w:rsid w:val="04C504B0"/>
    <w:rsid w:val="04E83035"/>
    <w:rsid w:val="055127B6"/>
    <w:rsid w:val="05A35D7D"/>
    <w:rsid w:val="05A473FE"/>
    <w:rsid w:val="05A650C5"/>
    <w:rsid w:val="05DB59F6"/>
    <w:rsid w:val="0614271F"/>
    <w:rsid w:val="06437CEA"/>
    <w:rsid w:val="07067B9A"/>
    <w:rsid w:val="07AA630B"/>
    <w:rsid w:val="07E70386"/>
    <w:rsid w:val="080810D5"/>
    <w:rsid w:val="08795E24"/>
    <w:rsid w:val="09280560"/>
    <w:rsid w:val="097000E2"/>
    <w:rsid w:val="09F90DB4"/>
    <w:rsid w:val="09FB2C45"/>
    <w:rsid w:val="09FB5160"/>
    <w:rsid w:val="0A0A30D1"/>
    <w:rsid w:val="0A5F38C2"/>
    <w:rsid w:val="0A8402F2"/>
    <w:rsid w:val="0AF654B5"/>
    <w:rsid w:val="0B9C3B2D"/>
    <w:rsid w:val="0C0C5285"/>
    <w:rsid w:val="0C5E246C"/>
    <w:rsid w:val="0CA43CE5"/>
    <w:rsid w:val="0CB807C9"/>
    <w:rsid w:val="0CCC75EF"/>
    <w:rsid w:val="0D755681"/>
    <w:rsid w:val="0D794020"/>
    <w:rsid w:val="0D970B58"/>
    <w:rsid w:val="0DA0589D"/>
    <w:rsid w:val="0DB5782C"/>
    <w:rsid w:val="0DE24882"/>
    <w:rsid w:val="0E2D0DAC"/>
    <w:rsid w:val="0E576D1F"/>
    <w:rsid w:val="0E7800F4"/>
    <w:rsid w:val="0E8A010D"/>
    <w:rsid w:val="0EDD5A6D"/>
    <w:rsid w:val="0F1C11DD"/>
    <w:rsid w:val="0F4F56D8"/>
    <w:rsid w:val="0FAA3C4D"/>
    <w:rsid w:val="0FCC70AF"/>
    <w:rsid w:val="104D01F0"/>
    <w:rsid w:val="10935934"/>
    <w:rsid w:val="10BC7073"/>
    <w:rsid w:val="10D37FA2"/>
    <w:rsid w:val="10E95294"/>
    <w:rsid w:val="11027C6E"/>
    <w:rsid w:val="11046D8B"/>
    <w:rsid w:val="11943BFC"/>
    <w:rsid w:val="119A3817"/>
    <w:rsid w:val="119D256F"/>
    <w:rsid w:val="124E0D0F"/>
    <w:rsid w:val="131017A6"/>
    <w:rsid w:val="13191CB5"/>
    <w:rsid w:val="136839E9"/>
    <w:rsid w:val="137B4CA9"/>
    <w:rsid w:val="13906D71"/>
    <w:rsid w:val="13B473B8"/>
    <w:rsid w:val="143F42F3"/>
    <w:rsid w:val="148166BA"/>
    <w:rsid w:val="149D358F"/>
    <w:rsid w:val="15453A59"/>
    <w:rsid w:val="15A31146"/>
    <w:rsid w:val="15BF68C4"/>
    <w:rsid w:val="15C727F2"/>
    <w:rsid w:val="15CE63BD"/>
    <w:rsid w:val="167F50C1"/>
    <w:rsid w:val="169C5E9C"/>
    <w:rsid w:val="169D6E97"/>
    <w:rsid w:val="16B55228"/>
    <w:rsid w:val="16D276A1"/>
    <w:rsid w:val="177B2CCE"/>
    <w:rsid w:val="17CF2EDB"/>
    <w:rsid w:val="17F00BA7"/>
    <w:rsid w:val="18105F8C"/>
    <w:rsid w:val="18447841"/>
    <w:rsid w:val="18485CE2"/>
    <w:rsid w:val="184861C9"/>
    <w:rsid w:val="187E36A1"/>
    <w:rsid w:val="188104B5"/>
    <w:rsid w:val="18C1277E"/>
    <w:rsid w:val="19962C07"/>
    <w:rsid w:val="19B5449C"/>
    <w:rsid w:val="19C962C6"/>
    <w:rsid w:val="1A1B61DB"/>
    <w:rsid w:val="1A267E03"/>
    <w:rsid w:val="1ACD6CC3"/>
    <w:rsid w:val="1AE90787"/>
    <w:rsid w:val="1B417A46"/>
    <w:rsid w:val="1B5103C4"/>
    <w:rsid w:val="1B8A1536"/>
    <w:rsid w:val="1BB83C40"/>
    <w:rsid w:val="1BF17509"/>
    <w:rsid w:val="1C4003EB"/>
    <w:rsid w:val="1C5F0D4A"/>
    <w:rsid w:val="1C744BB1"/>
    <w:rsid w:val="1C8B247A"/>
    <w:rsid w:val="1C8E754F"/>
    <w:rsid w:val="1C9019D7"/>
    <w:rsid w:val="1C920ECE"/>
    <w:rsid w:val="1CDB5C51"/>
    <w:rsid w:val="1D1A4AAD"/>
    <w:rsid w:val="1D273E3D"/>
    <w:rsid w:val="1D280B3E"/>
    <w:rsid w:val="1D340CC0"/>
    <w:rsid w:val="1D4A0C03"/>
    <w:rsid w:val="1D504163"/>
    <w:rsid w:val="1D537629"/>
    <w:rsid w:val="1D6D371E"/>
    <w:rsid w:val="1DA376A1"/>
    <w:rsid w:val="1DDB3933"/>
    <w:rsid w:val="1E184A27"/>
    <w:rsid w:val="1E1B5D56"/>
    <w:rsid w:val="1E5A40AE"/>
    <w:rsid w:val="1E842CD9"/>
    <w:rsid w:val="1EA57283"/>
    <w:rsid w:val="1ECA3C39"/>
    <w:rsid w:val="1FB92367"/>
    <w:rsid w:val="1FEF3071"/>
    <w:rsid w:val="1FF607C4"/>
    <w:rsid w:val="20184C26"/>
    <w:rsid w:val="20C867A2"/>
    <w:rsid w:val="20EE2BE2"/>
    <w:rsid w:val="213F43E7"/>
    <w:rsid w:val="21A13B19"/>
    <w:rsid w:val="21B46794"/>
    <w:rsid w:val="223344BE"/>
    <w:rsid w:val="22B57588"/>
    <w:rsid w:val="22B84FD5"/>
    <w:rsid w:val="23160915"/>
    <w:rsid w:val="23242025"/>
    <w:rsid w:val="238620D3"/>
    <w:rsid w:val="23C16AD3"/>
    <w:rsid w:val="23D56DDD"/>
    <w:rsid w:val="24110124"/>
    <w:rsid w:val="24171132"/>
    <w:rsid w:val="242C161C"/>
    <w:rsid w:val="24600B61"/>
    <w:rsid w:val="24A65AF9"/>
    <w:rsid w:val="250E6BAB"/>
    <w:rsid w:val="254B7836"/>
    <w:rsid w:val="257A162F"/>
    <w:rsid w:val="25915452"/>
    <w:rsid w:val="25A73B52"/>
    <w:rsid w:val="25D667AE"/>
    <w:rsid w:val="26345C82"/>
    <w:rsid w:val="263F7591"/>
    <w:rsid w:val="26C71CD9"/>
    <w:rsid w:val="26C92F4C"/>
    <w:rsid w:val="26E36E27"/>
    <w:rsid w:val="27E922B0"/>
    <w:rsid w:val="280E2503"/>
    <w:rsid w:val="285A616D"/>
    <w:rsid w:val="288527C5"/>
    <w:rsid w:val="2886653D"/>
    <w:rsid w:val="2897583E"/>
    <w:rsid w:val="28DB6352"/>
    <w:rsid w:val="29631885"/>
    <w:rsid w:val="296A19BB"/>
    <w:rsid w:val="2A403DF7"/>
    <w:rsid w:val="2A4B3B90"/>
    <w:rsid w:val="2AE25732"/>
    <w:rsid w:val="2B185546"/>
    <w:rsid w:val="2B45448D"/>
    <w:rsid w:val="2B6E65DD"/>
    <w:rsid w:val="2BFE6E4E"/>
    <w:rsid w:val="2C2E2937"/>
    <w:rsid w:val="2C406C63"/>
    <w:rsid w:val="2C8E0DB5"/>
    <w:rsid w:val="2CC328DD"/>
    <w:rsid w:val="2D08098C"/>
    <w:rsid w:val="2DA3424F"/>
    <w:rsid w:val="2E124743"/>
    <w:rsid w:val="2E184649"/>
    <w:rsid w:val="2E614B54"/>
    <w:rsid w:val="2E6C681E"/>
    <w:rsid w:val="2E9A0594"/>
    <w:rsid w:val="2EB84D84"/>
    <w:rsid w:val="2EE31FF3"/>
    <w:rsid w:val="2F257D1C"/>
    <w:rsid w:val="2F835C47"/>
    <w:rsid w:val="2FDD730E"/>
    <w:rsid w:val="3018314B"/>
    <w:rsid w:val="306A22A0"/>
    <w:rsid w:val="306B57A2"/>
    <w:rsid w:val="30EB1E7B"/>
    <w:rsid w:val="30F7120C"/>
    <w:rsid w:val="3117634C"/>
    <w:rsid w:val="312123ED"/>
    <w:rsid w:val="314038B9"/>
    <w:rsid w:val="31740F74"/>
    <w:rsid w:val="31840AF5"/>
    <w:rsid w:val="32024DBF"/>
    <w:rsid w:val="324617F3"/>
    <w:rsid w:val="327779BE"/>
    <w:rsid w:val="32804902"/>
    <w:rsid w:val="33A75D01"/>
    <w:rsid w:val="33A87367"/>
    <w:rsid w:val="33AD2BD0"/>
    <w:rsid w:val="33D302DD"/>
    <w:rsid w:val="33DE6DD6"/>
    <w:rsid w:val="342310E4"/>
    <w:rsid w:val="34853079"/>
    <w:rsid w:val="34A67CA4"/>
    <w:rsid w:val="34AE4E51"/>
    <w:rsid w:val="34C11176"/>
    <w:rsid w:val="34E9545B"/>
    <w:rsid w:val="351F406C"/>
    <w:rsid w:val="353A16CE"/>
    <w:rsid w:val="35860AB3"/>
    <w:rsid w:val="36015455"/>
    <w:rsid w:val="36183D03"/>
    <w:rsid w:val="364041CF"/>
    <w:rsid w:val="3645602E"/>
    <w:rsid w:val="364E1DE8"/>
    <w:rsid w:val="36B907C2"/>
    <w:rsid w:val="36E30112"/>
    <w:rsid w:val="36EE123E"/>
    <w:rsid w:val="370C0184"/>
    <w:rsid w:val="37114C9C"/>
    <w:rsid w:val="374270AA"/>
    <w:rsid w:val="376C4B50"/>
    <w:rsid w:val="37B55F63"/>
    <w:rsid w:val="37C86133"/>
    <w:rsid w:val="380E6CBF"/>
    <w:rsid w:val="3821378A"/>
    <w:rsid w:val="38647D50"/>
    <w:rsid w:val="391F1BE1"/>
    <w:rsid w:val="392576AC"/>
    <w:rsid w:val="394907EB"/>
    <w:rsid w:val="394924DF"/>
    <w:rsid w:val="39571135"/>
    <w:rsid w:val="395E67A9"/>
    <w:rsid w:val="3A0602F0"/>
    <w:rsid w:val="3A500759"/>
    <w:rsid w:val="3A6A426F"/>
    <w:rsid w:val="3A7015C7"/>
    <w:rsid w:val="3A976D23"/>
    <w:rsid w:val="3AA84AC5"/>
    <w:rsid w:val="3AA953A4"/>
    <w:rsid w:val="3B223EA3"/>
    <w:rsid w:val="3B483D8D"/>
    <w:rsid w:val="3B737E19"/>
    <w:rsid w:val="3B874C6B"/>
    <w:rsid w:val="3BF1024D"/>
    <w:rsid w:val="3C0C292D"/>
    <w:rsid w:val="3C512C16"/>
    <w:rsid w:val="3CE55B01"/>
    <w:rsid w:val="3D962DBA"/>
    <w:rsid w:val="3DB87049"/>
    <w:rsid w:val="3DDF55BC"/>
    <w:rsid w:val="3DE01457"/>
    <w:rsid w:val="3DEE2762"/>
    <w:rsid w:val="3DFB40D9"/>
    <w:rsid w:val="3E4E3D2C"/>
    <w:rsid w:val="3E520F15"/>
    <w:rsid w:val="3EB81DE3"/>
    <w:rsid w:val="3ECC1E78"/>
    <w:rsid w:val="3F1136E4"/>
    <w:rsid w:val="3F280766"/>
    <w:rsid w:val="3F2A6264"/>
    <w:rsid w:val="3FED4677"/>
    <w:rsid w:val="402A0777"/>
    <w:rsid w:val="413414A9"/>
    <w:rsid w:val="41C71300"/>
    <w:rsid w:val="42424E2B"/>
    <w:rsid w:val="43162B45"/>
    <w:rsid w:val="43463788"/>
    <w:rsid w:val="436849FD"/>
    <w:rsid w:val="43FC6F65"/>
    <w:rsid w:val="44250D12"/>
    <w:rsid w:val="4426490B"/>
    <w:rsid w:val="442953D4"/>
    <w:rsid w:val="444B25ED"/>
    <w:rsid w:val="44823C05"/>
    <w:rsid w:val="448D19C1"/>
    <w:rsid w:val="44B109D2"/>
    <w:rsid w:val="44C0673C"/>
    <w:rsid w:val="452847AC"/>
    <w:rsid w:val="4532512E"/>
    <w:rsid w:val="457D058D"/>
    <w:rsid w:val="45C1250B"/>
    <w:rsid w:val="466B694E"/>
    <w:rsid w:val="46DA7E0E"/>
    <w:rsid w:val="47053E21"/>
    <w:rsid w:val="473236E6"/>
    <w:rsid w:val="476870E2"/>
    <w:rsid w:val="47794F4A"/>
    <w:rsid w:val="478A0BD2"/>
    <w:rsid w:val="47F27463"/>
    <w:rsid w:val="47FB4D6A"/>
    <w:rsid w:val="4812407A"/>
    <w:rsid w:val="482246CC"/>
    <w:rsid w:val="48244F4D"/>
    <w:rsid w:val="483B0352"/>
    <w:rsid w:val="48924B7B"/>
    <w:rsid w:val="497A4B2E"/>
    <w:rsid w:val="49CA5DEC"/>
    <w:rsid w:val="4A00071A"/>
    <w:rsid w:val="4A016C10"/>
    <w:rsid w:val="4A20245C"/>
    <w:rsid w:val="4A786850"/>
    <w:rsid w:val="4AB77543"/>
    <w:rsid w:val="4ABC57AF"/>
    <w:rsid w:val="4AE65617"/>
    <w:rsid w:val="4AF06A21"/>
    <w:rsid w:val="4B221C12"/>
    <w:rsid w:val="4B5C5B9F"/>
    <w:rsid w:val="4C2C34CD"/>
    <w:rsid w:val="4C4927A8"/>
    <w:rsid w:val="4C740BC7"/>
    <w:rsid w:val="4C913288"/>
    <w:rsid w:val="4CBF5067"/>
    <w:rsid w:val="4CC1139A"/>
    <w:rsid w:val="4D9329DF"/>
    <w:rsid w:val="4E326F74"/>
    <w:rsid w:val="4E491DDB"/>
    <w:rsid w:val="4E571C5E"/>
    <w:rsid w:val="4EEC684A"/>
    <w:rsid w:val="4FB618C4"/>
    <w:rsid w:val="4FE50212"/>
    <w:rsid w:val="50324731"/>
    <w:rsid w:val="51394CC5"/>
    <w:rsid w:val="52496D57"/>
    <w:rsid w:val="524C02E7"/>
    <w:rsid w:val="52D055CC"/>
    <w:rsid w:val="52DA78D2"/>
    <w:rsid w:val="52E24C66"/>
    <w:rsid w:val="530320AB"/>
    <w:rsid w:val="53065763"/>
    <w:rsid w:val="5321668B"/>
    <w:rsid w:val="53343CFF"/>
    <w:rsid w:val="535526D4"/>
    <w:rsid w:val="53894668"/>
    <w:rsid w:val="53C40C31"/>
    <w:rsid w:val="53D27D64"/>
    <w:rsid w:val="53D63C9B"/>
    <w:rsid w:val="53EB6CAE"/>
    <w:rsid w:val="54286270"/>
    <w:rsid w:val="545A4256"/>
    <w:rsid w:val="54932B7A"/>
    <w:rsid w:val="55453B3B"/>
    <w:rsid w:val="554A42CB"/>
    <w:rsid w:val="556A370F"/>
    <w:rsid w:val="559E63C4"/>
    <w:rsid w:val="55B70740"/>
    <w:rsid w:val="55BE35B8"/>
    <w:rsid w:val="55FA169F"/>
    <w:rsid w:val="56020701"/>
    <w:rsid w:val="563918D7"/>
    <w:rsid w:val="5676089B"/>
    <w:rsid w:val="56906DBE"/>
    <w:rsid w:val="569F092D"/>
    <w:rsid w:val="569F0AA3"/>
    <w:rsid w:val="56E42ED8"/>
    <w:rsid w:val="57071F91"/>
    <w:rsid w:val="570B612E"/>
    <w:rsid w:val="57133B78"/>
    <w:rsid w:val="571866BE"/>
    <w:rsid w:val="57877235"/>
    <w:rsid w:val="57A10499"/>
    <w:rsid w:val="57D86AFD"/>
    <w:rsid w:val="57F224DB"/>
    <w:rsid w:val="57FF60E3"/>
    <w:rsid w:val="582C1E58"/>
    <w:rsid w:val="58375821"/>
    <w:rsid w:val="58533496"/>
    <w:rsid w:val="586270A1"/>
    <w:rsid w:val="587E1219"/>
    <w:rsid w:val="58EF7E12"/>
    <w:rsid w:val="59444399"/>
    <w:rsid w:val="59872CAD"/>
    <w:rsid w:val="59DF0848"/>
    <w:rsid w:val="59E80363"/>
    <w:rsid w:val="5A377D3E"/>
    <w:rsid w:val="5ABE4D68"/>
    <w:rsid w:val="5AC266B1"/>
    <w:rsid w:val="5B6C78DE"/>
    <w:rsid w:val="5B9D3556"/>
    <w:rsid w:val="5BEC348B"/>
    <w:rsid w:val="5BF037E6"/>
    <w:rsid w:val="5C0A229C"/>
    <w:rsid w:val="5C0E2FD3"/>
    <w:rsid w:val="5C19322D"/>
    <w:rsid w:val="5C240F11"/>
    <w:rsid w:val="5C4E28F2"/>
    <w:rsid w:val="5C661785"/>
    <w:rsid w:val="5CC44424"/>
    <w:rsid w:val="5D442243"/>
    <w:rsid w:val="5D4E2F08"/>
    <w:rsid w:val="5D6F0CBE"/>
    <w:rsid w:val="5D7916E5"/>
    <w:rsid w:val="5DCB4460"/>
    <w:rsid w:val="5DE3D5B8"/>
    <w:rsid w:val="5E881E10"/>
    <w:rsid w:val="5ECB4BD8"/>
    <w:rsid w:val="5F2C7AB3"/>
    <w:rsid w:val="5F3034E7"/>
    <w:rsid w:val="5F54400A"/>
    <w:rsid w:val="5F797C86"/>
    <w:rsid w:val="5F906D7E"/>
    <w:rsid w:val="5FC21382"/>
    <w:rsid w:val="603F289B"/>
    <w:rsid w:val="60541978"/>
    <w:rsid w:val="605D1356"/>
    <w:rsid w:val="60716D1B"/>
    <w:rsid w:val="607E018B"/>
    <w:rsid w:val="611900B8"/>
    <w:rsid w:val="61493688"/>
    <w:rsid w:val="626A164E"/>
    <w:rsid w:val="62E01DCA"/>
    <w:rsid w:val="63912C11"/>
    <w:rsid w:val="63A72692"/>
    <w:rsid w:val="63B177FC"/>
    <w:rsid w:val="645A4523"/>
    <w:rsid w:val="646043C7"/>
    <w:rsid w:val="64C21687"/>
    <w:rsid w:val="64CA0F84"/>
    <w:rsid w:val="64FB6D44"/>
    <w:rsid w:val="65381975"/>
    <w:rsid w:val="658B0713"/>
    <w:rsid w:val="65A630CF"/>
    <w:rsid w:val="665731BA"/>
    <w:rsid w:val="66A40348"/>
    <w:rsid w:val="66EC31E0"/>
    <w:rsid w:val="670B042B"/>
    <w:rsid w:val="67762CFD"/>
    <w:rsid w:val="67B0450B"/>
    <w:rsid w:val="67E21889"/>
    <w:rsid w:val="67FD2F2C"/>
    <w:rsid w:val="685908BB"/>
    <w:rsid w:val="68D14CDB"/>
    <w:rsid w:val="69081375"/>
    <w:rsid w:val="690B5E10"/>
    <w:rsid w:val="691B0392"/>
    <w:rsid w:val="697119CE"/>
    <w:rsid w:val="69877777"/>
    <w:rsid w:val="699014EB"/>
    <w:rsid w:val="69C81B7C"/>
    <w:rsid w:val="69F745C9"/>
    <w:rsid w:val="6A701C86"/>
    <w:rsid w:val="6A8E65C6"/>
    <w:rsid w:val="6A8F6CF3"/>
    <w:rsid w:val="6AC53EDD"/>
    <w:rsid w:val="6ADA35A3"/>
    <w:rsid w:val="6AE30927"/>
    <w:rsid w:val="6AE54422"/>
    <w:rsid w:val="6AE565F5"/>
    <w:rsid w:val="6AF97ECD"/>
    <w:rsid w:val="6BB8464D"/>
    <w:rsid w:val="6BC45A9F"/>
    <w:rsid w:val="6C270246"/>
    <w:rsid w:val="6C2A743C"/>
    <w:rsid w:val="6C3B104D"/>
    <w:rsid w:val="6C472EBA"/>
    <w:rsid w:val="6C6E3E06"/>
    <w:rsid w:val="6CCE2264"/>
    <w:rsid w:val="6CD83A89"/>
    <w:rsid w:val="6CE232F4"/>
    <w:rsid w:val="6D0A63C2"/>
    <w:rsid w:val="6D282CEC"/>
    <w:rsid w:val="6D2B1248"/>
    <w:rsid w:val="6D300E0F"/>
    <w:rsid w:val="6D371181"/>
    <w:rsid w:val="6D3E606B"/>
    <w:rsid w:val="6D567859"/>
    <w:rsid w:val="6D59196F"/>
    <w:rsid w:val="6DE14B63"/>
    <w:rsid w:val="6E5E71D8"/>
    <w:rsid w:val="6E6941CA"/>
    <w:rsid w:val="6E8F430E"/>
    <w:rsid w:val="6EBB5D6E"/>
    <w:rsid w:val="6EF015E7"/>
    <w:rsid w:val="6F2C4245"/>
    <w:rsid w:val="6F32473B"/>
    <w:rsid w:val="6F396DD7"/>
    <w:rsid w:val="6F5D4D7D"/>
    <w:rsid w:val="6F73622F"/>
    <w:rsid w:val="700E3921"/>
    <w:rsid w:val="701A4EFA"/>
    <w:rsid w:val="705E3E2F"/>
    <w:rsid w:val="70B8002E"/>
    <w:rsid w:val="710928CF"/>
    <w:rsid w:val="71297705"/>
    <w:rsid w:val="71A4680E"/>
    <w:rsid w:val="720158B9"/>
    <w:rsid w:val="725F5C4F"/>
    <w:rsid w:val="7278625A"/>
    <w:rsid w:val="73236CE2"/>
    <w:rsid w:val="73891EF0"/>
    <w:rsid w:val="738A3F32"/>
    <w:rsid w:val="73BA24CF"/>
    <w:rsid w:val="73E00378"/>
    <w:rsid w:val="73FFA1DE"/>
    <w:rsid w:val="74172B89"/>
    <w:rsid w:val="7491719A"/>
    <w:rsid w:val="751D0C5C"/>
    <w:rsid w:val="758D193E"/>
    <w:rsid w:val="75B34F5E"/>
    <w:rsid w:val="75C103CB"/>
    <w:rsid w:val="75E579CC"/>
    <w:rsid w:val="761462AA"/>
    <w:rsid w:val="762A26FB"/>
    <w:rsid w:val="76473B0C"/>
    <w:rsid w:val="7686063A"/>
    <w:rsid w:val="769C36EF"/>
    <w:rsid w:val="76A76CCC"/>
    <w:rsid w:val="76B27072"/>
    <w:rsid w:val="76D17830"/>
    <w:rsid w:val="76EA412A"/>
    <w:rsid w:val="770B3462"/>
    <w:rsid w:val="77BA4117"/>
    <w:rsid w:val="77CA091E"/>
    <w:rsid w:val="781C3DE5"/>
    <w:rsid w:val="782A7EF1"/>
    <w:rsid w:val="78796ADC"/>
    <w:rsid w:val="78CB48EE"/>
    <w:rsid w:val="78F83122"/>
    <w:rsid w:val="798208A6"/>
    <w:rsid w:val="798532AB"/>
    <w:rsid w:val="798A26FD"/>
    <w:rsid w:val="79DD1F29"/>
    <w:rsid w:val="7A0E041A"/>
    <w:rsid w:val="7A160AE0"/>
    <w:rsid w:val="7A27101F"/>
    <w:rsid w:val="7A572EFF"/>
    <w:rsid w:val="7AB1734E"/>
    <w:rsid w:val="7B197944"/>
    <w:rsid w:val="7B2459AF"/>
    <w:rsid w:val="7B2C6091"/>
    <w:rsid w:val="7B9931DB"/>
    <w:rsid w:val="7BCE4416"/>
    <w:rsid w:val="7CBE38AC"/>
    <w:rsid w:val="7CD52A9F"/>
    <w:rsid w:val="7D09448E"/>
    <w:rsid w:val="7D2242E1"/>
    <w:rsid w:val="7D246AFF"/>
    <w:rsid w:val="7D324BCD"/>
    <w:rsid w:val="7DAF20C9"/>
    <w:rsid w:val="7E567592"/>
    <w:rsid w:val="7E67246C"/>
    <w:rsid w:val="7E861370"/>
    <w:rsid w:val="7E9A28DA"/>
    <w:rsid w:val="7EBD2781"/>
    <w:rsid w:val="7F00333C"/>
    <w:rsid w:val="7F010E27"/>
    <w:rsid w:val="7F054064"/>
    <w:rsid w:val="7F337079"/>
    <w:rsid w:val="7F504D8B"/>
    <w:rsid w:val="7F520BE1"/>
    <w:rsid w:val="7F5A54CB"/>
    <w:rsid w:val="7F897B71"/>
    <w:rsid w:val="7FDD8FFA"/>
    <w:rsid w:val="7FEA23BF"/>
    <w:rsid w:val="7FFF104D"/>
    <w:rsid w:val="9D2FF397"/>
    <w:rsid w:val="BE7FC49E"/>
    <w:rsid w:val="CF4D939D"/>
    <w:rsid w:val="DD7D8A97"/>
    <w:rsid w:val="DF8A3154"/>
    <w:rsid w:val="ECEFE6BE"/>
    <w:rsid w:val="F75B9D96"/>
    <w:rsid w:val="F7FEF45F"/>
    <w:rsid w:val="FDAB38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toc 3"/>
    <w:basedOn w:val="1"/>
    <w:next w:val="1"/>
    <w:qFormat/>
    <w:uiPriority w:val="0"/>
    <w:pPr>
      <w:ind w:left="840" w:leftChars="4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100" w:beforeLines="0" w:beforeAutospacing="1" w:after="100" w:afterLines="0" w:afterAutospacing="1"/>
      <w:ind w:left="0" w:right="0"/>
      <w:jc w:val="left"/>
    </w:pPr>
    <w:rPr>
      <w:kern w:val="0"/>
      <w:sz w:val="24"/>
      <w:lang w:val="en-US" w:eastAsia="zh-CN" w:bidi="ar"/>
    </w:rPr>
  </w:style>
  <w:style w:type="character" w:styleId="12">
    <w:name w:val="Emphasis"/>
    <w:basedOn w:val="11"/>
    <w:qFormat/>
    <w:uiPriority w:val="0"/>
    <w:rPr>
      <w:i/>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正文文本 (6)"/>
    <w:basedOn w:val="1"/>
    <w:link w:val="50"/>
    <w:qFormat/>
    <w:uiPriority w:val="0"/>
    <w:pPr>
      <w:widowControl w:val="0"/>
      <w:shd w:val="clear" w:color="auto" w:fill="FFFFFF"/>
      <w:spacing w:line="614" w:lineRule="exact"/>
      <w:jc w:val="distribute"/>
    </w:pPr>
    <w:rPr>
      <w:rFonts w:ascii="MingLiU" w:hAnsi="MingLiU" w:eastAsia="MingLiU" w:cs="MingLiU"/>
      <w:sz w:val="26"/>
      <w:szCs w:val="26"/>
      <w:u w:val="none"/>
    </w:rPr>
  </w:style>
  <w:style w:type="paragraph" w:customStyle="1" w:styleId="15">
    <w:name w:val="正文文本 (19)1"/>
    <w:basedOn w:val="1"/>
    <w:link w:val="37"/>
    <w:qFormat/>
    <w:uiPriority w:val="0"/>
    <w:pPr>
      <w:widowControl w:val="0"/>
      <w:shd w:val="clear" w:color="auto" w:fill="FFFFFF"/>
      <w:spacing w:line="624" w:lineRule="exact"/>
      <w:jc w:val="distribute"/>
    </w:pPr>
    <w:rPr>
      <w:rFonts w:ascii="MingLiU" w:hAnsi="MingLiU" w:eastAsia="MingLiU" w:cs="MingLiU"/>
      <w:spacing w:val="20"/>
      <w:sz w:val="26"/>
      <w:szCs w:val="26"/>
      <w:u w:val="none"/>
    </w:rPr>
  </w:style>
  <w:style w:type="paragraph" w:customStyle="1" w:styleId="16">
    <w:name w:val="WPSOffice手动目录 3"/>
    <w:qFormat/>
    <w:uiPriority w:val="0"/>
    <w:pPr>
      <w:ind w:leftChars="400"/>
    </w:pPr>
    <w:rPr>
      <w:rFonts w:ascii="Times New Roman" w:hAnsi="Times New Roman" w:eastAsia="宋体" w:cs="Times New Roman"/>
      <w:sz w:val="20"/>
      <w:szCs w:val="20"/>
    </w:rPr>
  </w:style>
  <w:style w:type="paragraph" w:customStyle="1" w:styleId="17">
    <w:name w:val="表格标题 (2)1"/>
    <w:basedOn w:val="1"/>
    <w:link w:val="47"/>
    <w:qFormat/>
    <w:uiPriority w:val="0"/>
    <w:pPr>
      <w:widowControl w:val="0"/>
      <w:shd w:val="clear" w:color="auto" w:fill="FFFFFF"/>
      <w:spacing w:line="0" w:lineRule="atLeast"/>
    </w:pPr>
    <w:rPr>
      <w:rFonts w:ascii="MingLiU" w:hAnsi="MingLiU" w:eastAsia="MingLiU" w:cs="MingLiU"/>
      <w:spacing w:val="30"/>
      <w:sz w:val="28"/>
      <w:szCs w:val="28"/>
      <w:u w:val="none"/>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 w:type="paragraph" w:customStyle="1" w:styleId="19">
    <w:name w:val="表格标题"/>
    <w:basedOn w:val="1"/>
    <w:link w:val="48"/>
    <w:qFormat/>
    <w:uiPriority w:val="0"/>
    <w:pPr>
      <w:widowControl w:val="0"/>
      <w:shd w:val="clear" w:color="auto" w:fill="FFFFFF"/>
      <w:spacing w:line="0" w:lineRule="atLeast"/>
    </w:pPr>
    <w:rPr>
      <w:rFonts w:ascii="MingLiU" w:hAnsi="MingLiU" w:eastAsia="MingLiU" w:cs="MingLiU"/>
      <w:b/>
      <w:bCs/>
      <w:sz w:val="23"/>
      <w:szCs w:val="23"/>
      <w:u w:val="none"/>
    </w:rPr>
  </w:style>
  <w:style w:type="paragraph" w:customStyle="1" w:styleId="20">
    <w:name w:val="正文文本 (5)"/>
    <w:basedOn w:val="1"/>
    <w:link w:val="55"/>
    <w:qFormat/>
    <w:uiPriority w:val="0"/>
    <w:pPr>
      <w:widowControl w:val="0"/>
      <w:shd w:val="clear" w:color="auto" w:fill="FFFFFF"/>
      <w:spacing w:line="0" w:lineRule="atLeast"/>
    </w:pPr>
    <w:rPr>
      <w:rFonts w:ascii="MS Mincho" w:hAnsi="MS Mincho" w:eastAsia="MS Mincho" w:cs="MS Mincho"/>
      <w:sz w:val="28"/>
      <w:szCs w:val="28"/>
      <w:u w:val="none"/>
      <w:lang w:val="en-US"/>
    </w:rPr>
  </w:style>
  <w:style w:type="paragraph" w:customStyle="1" w:styleId="21">
    <w:name w:val="正文文本 (11)"/>
    <w:basedOn w:val="1"/>
    <w:link w:val="31"/>
    <w:qFormat/>
    <w:uiPriority w:val="0"/>
    <w:pPr>
      <w:widowControl w:val="0"/>
      <w:shd w:val="clear" w:color="auto" w:fill="FFFFFF"/>
      <w:spacing w:before="360" w:beforeLines="0" w:after="360" w:afterLines="0" w:line="0" w:lineRule="atLeast"/>
      <w:jc w:val="distribute"/>
    </w:pPr>
    <w:rPr>
      <w:rFonts w:ascii="Sylfaen" w:hAnsi="Sylfaen" w:eastAsia="Sylfaen" w:cs="Sylfaen"/>
      <w:b/>
      <w:bCs/>
      <w:sz w:val="27"/>
      <w:szCs w:val="27"/>
      <w:u w:val="none"/>
    </w:rPr>
  </w:style>
  <w:style w:type="paragraph" w:customStyle="1" w:styleId="22">
    <w:name w:val="表格标题 (4)"/>
    <w:basedOn w:val="1"/>
    <w:link w:val="32"/>
    <w:qFormat/>
    <w:uiPriority w:val="0"/>
    <w:pPr>
      <w:widowControl w:val="0"/>
      <w:shd w:val="clear" w:color="auto" w:fill="FFFFFF"/>
      <w:spacing w:line="0" w:lineRule="atLeast"/>
    </w:pPr>
    <w:rPr>
      <w:rFonts w:ascii="MingLiU" w:hAnsi="MingLiU" w:eastAsia="MingLiU" w:cs="MingLiU"/>
      <w:sz w:val="26"/>
      <w:szCs w:val="26"/>
      <w:u w:val="none"/>
    </w:rPr>
  </w:style>
  <w:style w:type="paragraph" w:customStyle="1" w:styleId="23">
    <w:name w:val="正文文本 (10)"/>
    <w:basedOn w:val="1"/>
    <w:link w:val="61"/>
    <w:qFormat/>
    <w:uiPriority w:val="0"/>
    <w:pPr>
      <w:widowControl w:val="0"/>
      <w:shd w:val="clear" w:color="auto" w:fill="FFFFFF"/>
      <w:spacing w:before="240" w:beforeLines="0" w:after="360" w:afterLines="0" w:line="0" w:lineRule="atLeast"/>
      <w:jc w:val="center"/>
    </w:pPr>
    <w:rPr>
      <w:rFonts w:ascii="MingLiU" w:hAnsi="MingLiU" w:eastAsia="MingLiU" w:cs="MingLiU"/>
      <w:b/>
      <w:bCs/>
      <w:sz w:val="23"/>
      <w:szCs w:val="23"/>
      <w:u w:val="none"/>
    </w:rPr>
  </w:style>
  <w:style w:type="paragraph" w:customStyle="1" w:styleId="24">
    <w:name w:val="正文文本1"/>
    <w:basedOn w:val="1"/>
    <w:link w:val="27"/>
    <w:qFormat/>
    <w:uiPriority w:val="0"/>
    <w:pPr>
      <w:widowControl w:val="0"/>
      <w:shd w:val="clear" w:color="auto" w:fill="FFFFFF"/>
      <w:spacing w:after="1500" w:afterLines="0" w:line="0" w:lineRule="atLeast"/>
    </w:pPr>
    <w:rPr>
      <w:rFonts w:ascii="MingLiU" w:hAnsi="MingLiU" w:eastAsia="MingLiU" w:cs="MingLiU"/>
      <w:spacing w:val="20"/>
      <w:sz w:val="26"/>
      <w:szCs w:val="26"/>
      <w:u w:val="none"/>
    </w:rPr>
  </w:style>
  <w:style w:type="character" w:customStyle="1" w:styleId="25">
    <w:name w:val="正文文本 (6) + 间距 2 pt1"/>
    <w:qFormat/>
    <w:uiPriority w:val="0"/>
    <w:rPr>
      <w:rFonts w:ascii="MingLiU" w:hAnsi="MingLiU" w:eastAsia="MingLiU" w:cs="MingLiU"/>
      <w:color w:val="000000"/>
      <w:spacing w:val="50"/>
      <w:w w:val="100"/>
      <w:position w:val="0"/>
      <w:sz w:val="26"/>
      <w:szCs w:val="26"/>
      <w:u w:val="none"/>
      <w:lang w:val="zh-TW"/>
    </w:rPr>
  </w:style>
  <w:style w:type="character" w:customStyle="1" w:styleId="26">
    <w:name w:val="正文文本 + 15 pt4"/>
    <w:basedOn w:val="27"/>
    <w:qFormat/>
    <w:uiPriority w:val="0"/>
    <w:rPr>
      <w:b/>
      <w:bCs/>
      <w:color w:val="000000"/>
      <w:spacing w:val="0"/>
      <w:w w:val="100"/>
      <w:position w:val="0"/>
      <w:sz w:val="30"/>
      <w:szCs w:val="30"/>
      <w:lang w:val="zh-TW"/>
    </w:rPr>
  </w:style>
  <w:style w:type="character" w:customStyle="1" w:styleId="27">
    <w:name w:val="正文文本_"/>
    <w:basedOn w:val="11"/>
    <w:link w:val="24"/>
    <w:qFormat/>
    <w:uiPriority w:val="0"/>
    <w:rPr>
      <w:rFonts w:ascii="MingLiU" w:hAnsi="MingLiU" w:eastAsia="MingLiU" w:cs="MingLiU"/>
      <w:spacing w:val="20"/>
      <w:sz w:val="26"/>
      <w:szCs w:val="26"/>
      <w:u w:val="none"/>
    </w:rPr>
  </w:style>
  <w:style w:type="character" w:customStyle="1" w:styleId="28">
    <w:name w:val="正文文本 (19) + MS Mincho"/>
    <w:qFormat/>
    <w:uiPriority w:val="0"/>
    <w:rPr>
      <w:rFonts w:ascii="MS Mincho" w:hAnsi="MS Mincho" w:eastAsia="MS Mincho" w:cs="MS Mincho"/>
      <w:color w:val="000000"/>
      <w:spacing w:val="20"/>
      <w:w w:val="100"/>
      <w:position w:val="0"/>
      <w:sz w:val="22"/>
      <w:szCs w:val="22"/>
      <w:u w:val="none"/>
      <w:lang w:val="en-US"/>
    </w:rPr>
  </w:style>
  <w:style w:type="character" w:customStyle="1" w:styleId="29">
    <w:name w:val="正文文本 (19) + 13.5 pt"/>
    <w:qFormat/>
    <w:uiPriority w:val="0"/>
    <w:rPr>
      <w:rFonts w:ascii="MingLiU" w:hAnsi="MingLiU" w:eastAsia="MingLiU" w:cs="MingLiU"/>
      <w:color w:val="000000"/>
      <w:spacing w:val="40"/>
      <w:w w:val="75"/>
      <w:position w:val="0"/>
      <w:sz w:val="27"/>
      <w:szCs w:val="27"/>
      <w:u w:val="none"/>
      <w:lang w:val="zh-TW"/>
    </w:rPr>
  </w:style>
  <w:style w:type="character" w:customStyle="1" w:styleId="30">
    <w:name w:val="正文文本 (11) + MingLiU1"/>
    <w:qFormat/>
    <w:uiPriority w:val="0"/>
    <w:rPr>
      <w:rFonts w:ascii="MingLiU" w:hAnsi="MingLiU" w:eastAsia="MingLiU" w:cs="MingLiU"/>
      <w:b/>
      <w:bCs/>
      <w:color w:val="000000"/>
      <w:spacing w:val="0"/>
      <w:w w:val="100"/>
      <w:position w:val="0"/>
      <w:sz w:val="26"/>
      <w:szCs w:val="26"/>
      <w:u w:val="none"/>
      <w:lang w:val="zh-TW"/>
    </w:rPr>
  </w:style>
  <w:style w:type="character" w:customStyle="1" w:styleId="31">
    <w:name w:val="正文文本 (11)_"/>
    <w:link w:val="21"/>
    <w:qFormat/>
    <w:uiPriority w:val="0"/>
    <w:rPr>
      <w:rFonts w:ascii="Sylfaen" w:hAnsi="Sylfaen" w:eastAsia="Sylfaen" w:cs="Sylfaen"/>
      <w:b/>
      <w:bCs/>
      <w:sz w:val="27"/>
      <w:szCs w:val="27"/>
      <w:u w:val="none"/>
    </w:rPr>
  </w:style>
  <w:style w:type="character" w:customStyle="1" w:styleId="32">
    <w:name w:val="表格标题 (4)_"/>
    <w:link w:val="22"/>
    <w:qFormat/>
    <w:uiPriority w:val="0"/>
    <w:rPr>
      <w:rFonts w:ascii="MingLiU" w:hAnsi="MingLiU" w:eastAsia="MingLiU" w:cs="MingLiU"/>
      <w:sz w:val="26"/>
      <w:szCs w:val="26"/>
      <w:u w:val="none"/>
    </w:rPr>
  </w:style>
  <w:style w:type="character" w:customStyle="1" w:styleId="33">
    <w:name w:val="表格标题 + MS Mincho1"/>
    <w:qFormat/>
    <w:uiPriority w:val="0"/>
    <w:rPr>
      <w:rFonts w:ascii="MS Mincho" w:hAnsi="MS Mincho" w:eastAsia="MS Mincho" w:cs="MS Mincho"/>
      <w:b/>
      <w:bCs/>
      <w:color w:val="000000"/>
      <w:spacing w:val="-10"/>
      <w:w w:val="100"/>
      <w:position w:val="0"/>
      <w:sz w:val="24"/>
      <w:szCs w:val="24"/>
      <w:u w:val="none"/>
      <w:lang w:val="zh-TW"/>
    </w:rPr>
  </w:style>
  <w:style w:type="character" w:customStyle="1" w:styleId="34">
    <w:name w:val="正文文本 (11) + MingLiU"/>
    <w:qFormat/>
    <w:uiPriority w:val="0"/>
    <w:rPr>
      <w:rFonts w:ascii="MingLiU" w:hAnsi="MingLiU" w:eastAsia="MingLiU" w:cs="MingLiU"/>
      <w:b/>
      <w:bCs/>
      <w:color w:val="000000"/>
      <w:spacing w:val="0"/>
      <w:w w:val="100"/>
      <w:position w:val="0"/>
      <w:sz w:val="26"/>
      <w:szCs w:val="26"/>
      <w:u w:val="none"/>
      <w:lang w:val="zh-TW"/>
    </w:rPr>
  </w:style>
  <w:style w:type="character" w:customStyle="1" w:styleId="35">
    <w:name w:val="正文文本 + MS Mincho3"/>
    <w:qFormat/>
    <w:uiPriority w:val="0"/>
    <w:rPr>
      <w:rFonts w:ascii="MS Mincho" w:hAnsi="MS Mincho" w:eastAsia="MS Mincho" w:cs="MS Mincho"/>
      <w:color w:val="000000"/>
      <w:spacing w:val="50"/>
      <w:w w:val="100"/>
      <w:position w:val="0"/>
      <w:sz w:val="28"/>
      <w:szCs w:val="28"/>
      <w:u w:val="none"/>
      <w:lang w:val="en-US"/>
    </w:rPr>
  </w:style>
  <w:style w:type="character" w:customStyle="1" w:styleId="36">
    <w:name w:val="正文文本 (5) + MingLiU1"/>
    <w:qFormat/>
    <w:uiPriority w:val="0"/>
    <w:rPr>
      <w:rFonts w:ascii="MingLiU" w:hAnsi="MingLiU" w:eastAsia="MingLiU" w:cs="MingLiU"/>
      <w:color w:val="000000"/>
      <w:spacing w:val="20"/>
      <w:w w:val="100"/>
      <w:position w:val="0"/>
      <w:sz w:val="26"/>
      <w:szCs w:val="26"/>
      <w:u w:val="none"/>
      <w:lang w:val="zh-TW"/>
    </w:rPr>
  </w:style>
  <w:style w:type="character" w:customStyle="1" w:styleId="37">
    <w:name w:val="正文文本 (19)_"/>
    <w:link w:val="15"/>
    <w:qFormat/>
    <w:uiPriority w:val="0"/>
    <w:rPr>
      <w:rFonts w:ascii="MingLiU" w:hAnsi="MingLiU" w:eastAsia="MingLiU" w:cs="MingLiU"/>
      <w:spacing w:val="20"/>
      <w:sz w:val="26"/>
      <w:szCs w:val="26"/>
      <w:u w:val="none"/>
    </w:rPr>
  </w:style>
  <w:style w:type="character" w:customStyle="1" w:styleId="38">
    <w:name w:val="正文文本 + MS Mincho"/>
    <w:qFormat/>
    <w:uiPriority w:val="0"/>
    <w:rPr>
      <w:rFonts w:ascii="MS Mincho" w:hAnsi="MS Mincho" w:eastAsia="MS Mincho" w:cs="MS Mincho"/>
      <w:color w:val="000000"/>
      <w:spacing w:val="0"/>
      <w:w w:val="100"/>
      <w:position w:val="0"/>
      <w:sz w:val="28"/>
      <w:szCs w:val="28"/>
      <w:u w:val="none"/>
      <w:lang w:val="zh-TW"/>
    </w:rPr>
  </w:style>
  <w:style w:type="character" w:customStyle="1" w:styleId="39">
    <w:name w:val="正文文本 + 6.5 pt"/>
    <w:qFormat/>
    <w:uiPriority w:val="0"/>
    <w:rPr>
      <w:rFonts w:ascii="MingLiU" w:hAnsi="MingLiU" w:eastAsia="MingLiU" w:cs="MingLiU"/>
      <w:color w:val="000000"/>
      <w:spacing w:val="0"/>
      <w:w w:val="100"/>
      <w:position w:val="0"/>
      <w:sz w:val="13"/>
      <w:szCs w:val="13"/>
      <w:u w:val="none"/>
      <w:lang w:val="zh-CN"/>
    </w:rPr>
  </w:style>
  <w:style w:type="character" w:customStyle="1" w:styleId="40">
    <w:name w:val="正文文本 (11) + MingLiU2"/>
    <w:qFormat/>
    <w:uiPriority w:val="0"/>
    <w:rPr>
      <w:rFonts w:ascii="MingLiU" w:hAnsi="MingLiU" w:eastAsia="MingLiU" w:cs="MingLiU"/>
      <w:b/>
      <w:bCs/>
      <w:color w:val="000000"/>
      <w:spacing w:val="40"/>
      <w:w w:val="100"/>
      <w:position w:val="0"/>
      <w:sz w:val="10"/>
      <w:szCs w:val="10"/>
      <w:u w:val="none"/>
      <w:lang w:val="zh-CN"/>
    </w:rPr>
  </w:style>
  <w:style w:type="character" w:customStyle="1" w:styleId="41">
    <w:name w:val="正文文本 + 11.5 pt1"/>
    <w:qFormat/>
    <w:uiPriority w:val="0"/>
    <w:rPr>
      <w:rFonts w:ascii="MingLiU" w:hAnsi="MingLiU" w:eastAsia="MingLiU" w:cs="MingLiU"/>
      <w:b/>
      <w:bCs/>
      <w:color w:val="000000"/>
      <w:spacing w:val="0"/>
      <w:w w:val="100"/>
      <w:position w:val="0"/>
      <w:sz w:val="23"/>
      <w:szCs w:val="23"/>
      <w:u w:val="none"/>
      <w:lang w:val="zh-TW"/>
    </w:rPr>
  </w:style>
  <w:style w:type="character" w:customStyle="1" w:styleId="42">
    <w:name w:val="正文文本 + 12.5 pt1"/>
    <w:basedOn w:val="27"/>
    <w:qFormat/>
    <w:uiPriority w:val="0"/>
    <w:rPr>
      <w:color w:val="000000"/>
      <w:w w:val="100"/>
      <w:position w:val="0"/>
      <w:sz w:val="25"/>
      <w:szCs w:val="25"/>
      <w:lang w:val="zh-TW"/>
    </w:rPr>
  </w:style>
  <w:style w:type="character" w:customStyle="1" w:styleId="43">
    <w:name w:val="正文文本 + MS Mincho11"/>
    <w:qFormat/>
    <w:uiPriority w:val="0"/>
    <w:rPr>
      <w:rFonts w:ascii="MS Mincho" w:hAnsi="MS Mincho" w:eastAsia="MS Mincho" w:cs="MS Mincho"/>
      <w:color w:val="000000"/>
      <w:spacing w:val="-20"/>
      <w:w w:val="100"/>
      <w:position w:val="0"/>
      <w:sz w:val="22"/>
      <w:szCs w:val="22"/>
      <w:u w:val="none"/>
      <w:lang w:val="en-US"/>
    </w:rPr>
  </w:style>
  <w:style w:type="character" w:customStyle="1" w:styleId="44">
    <w:name w:val="正文文本 + MS Mincho9"/>
    <w:qFormat/>
    <w:uiPriority w:val="0"/>
    <w:rPr>
      <w:rFonts w:ascii="MS Mincho" w:hAnsi="MS Mincho" w:eastAsia="MS Mincho" w:cs="MS Mincho"/>
      <w:color w:val="000000"/>
      <w:spacing w:val="-10"/>
      <w:w w:val="100"/>
      <w:position w:val="0"/>
      <w:sz w:val="24"/>
      <w:szCs w:val="24"/>
      <w:u w:val="none"/>
      <w:lang w:val="zh-TW"/>
    </w:rPr>
  </w:style>
  <w:style w:type="character" w:customStyle="1" w:styleId="45">
    <w:name w:val="正文文本 + 10.5 pt1"/>
    <w:qFormat/>
    <w:uiPriority w:val="0"/>
    <w:rPr>
      <w:rFonts w:ascii="MingLiU" w:hAnsi="MingLiU" w:eastAsia="MingLiU" w:cs="MingLiU"/>
      <w:color w:val="000000"/>
      <w:spacing w:val="0"/>
      <w:w w:val="100"/>
      <w:position w:val="0"/>
      <w:sz w:val="21"/>
      <w:szCs w:val="21"/>
      <w:u w:val="none"/>
      <w:lang w:val="zh-TW"/>
    </w:rPr>
  </w:style>
  <w:style w:type="character" w:customStyle="1" w:styleId="46">
    <w:name w:val="表格标题 (2)"/>
    <w:basedOn w:val="47"/>
    <w:qFormat/>
    <w:uiPriority w:val="0"/>
    <w:rPr>
      <w:color w:val="000000"/>
      <w:w w:val="100"/>
      <w:position w:val="0"/>
      <w:lang w:val="zh-TW"/>
    </w:rPr>
  </w:style>
  <w:style w:type="character" w:customStyle="1" w:styleId="47">
    <w:name w:val="表格标题 (2)_"/>
    <w:basedOn w:val="11"/>
    <w:link w:val="17"/>
    <w:qFormat/>
    <w:uiPriority w:val="0"/>
    <w:rPr>
      <w:rFonts w:ascii="MingLiU" w:hAnsi="MingLiU" w:eastAsia="MingLiU" w:cs="MingLiU"/>
      <w:spacing w:val="30"/>
      <w:sz w:val="28"/>
      <w:szCs w:val="28"/>
      <w:u w:val="none"/>
    </w:rPr>
  </w:style>
  <w:style w:type="character" w:customStyle="1" w:styleId="48">
    <w:name w:val="表格标题_"/>
    <w:link w:val="19"/>
    <w:qFormat/>
    <w:uiPriority w:val="0"/>
    <w:rPr>
      <w:rFonts w:ascii="MingLiU" w:hAnsi="MingLiU" w:eastAsia="MingLiU" w:cs="MingLiU"/>
      <w:b/>
      <w:bCs/>
      <w:sz w:val="23"/>
      <w:szCs w:val="23"/>
      <w:u w:val="none"/>
    </w:rPr>
  </w:style>
  <w:style w:type="character" w:customStyle="1" w:styleId="49">
    <w:name w:val="正文文本 (11) + MingLiU3"/>
    <w:qFormat/>
    <w:uiPriority w:val="0"/>
    <w:rPr>
      <w:rFonts w:ascii="MingLiU" w:hAnsi="MingLiU" w:eastAsia="MingLiU" w:cs="MingLiU"/>
      <w:b/>
      <w:bCs/>
      <w:color w:val="000000"/>
      <w:spacing w:val="20"/>
      <w:w w:val="100"/>
      <w:position w:val="0"/>
      <w:sz w:val="26"/>
      <w:szCs w:val="26"/>
      <w:u w:val="none"/>
      <w:lang w:val="zh-TW"/>
    </w:rPr>
  </w:style>
  <w:style w:type="character" w:customStyle="1" w:styleId="50">
    <w:name w:val="正文文本 (6)_"/>
    <w:link w:val="14"/>
    <w:qFormat/>
    <w:uiPriority w:val="0"/>
    <w:rPr>
      <w:rFonts w:ascii="MingLiU" w:hAnsi="MingLiU" w:eastAsia="MingLiU" w:cs="MingLiU"/>
      <w:sz w:val="26"/>
      <w:szCs w:val="26"/>
      <w:u w:val="none"/>
    </w:rPr>
  </w:style>
  <w:style w:type="character" w:customStyle="1" w:styleId="51">
    <w:name w:val="正文文本 + 间距 3 pt"/>
    <w:qFormat/>
    <w:uiPriority w:val="0"/>
    <w:rPr>
      <w:rFonts w:ascii="MingLiU" w:hAnsi="MingLiU" w:eastAsia="MingLiU" w:cs="MingLiU"/>
      <w:color w:val="000000"/>
      <w:spacing w:val="60"/>
      <w:w w:val="100"/>
      <w:position w:val="0"/>
      <w:sz w:val="26"/>
      <w:szCs w:val="26"/>
      <w:u w:val="none"/>
      <w:lang w:val="zh-TW"/>
    </w:rPr>
  </w:style>
  <w:style w:type="character" w:customStyle="1" w:styleId="52">
    <w:name w:val="正文文本 + 间距 0 pt1"/>
    <w:qFormat/>
    <w:uiPriority w:val="0"/>
    <w:rPr>
      <w:rFonts w:ascii="MingLiU" w:hAnsi="MingLiU" w:eastAsia="MingLiU" w:cs="MingLiU"/>
      <w:color w:val="000000"/>
      <w:spacing w:val="0"/>
      <w:w w:val="100"/>
      <w:position w:val="0"/>
      <w:sz w:val="26"/>
      <w:szCs w:val="26"/>
      <w:u w:val="none"/>
      <w:lang w:val="zh-TW"/>
    </w:rPr>
  </w:style>
  <w:style w:type="character" w:customStyle="1" w:styleId="53">
    <w:name w:val="正文文本 (10) + MS Mincho"/>
    <w:qFormat/>
    <w:uiPriority w:val="0"/>
    <w:rPr>
      <w:rFonts w:ascii="MS Mincho" w:hAnsi="MS Mincho" w:eastAsia="MS Mincho" w:cs="MS Mincho"/>
      <w:b/>
      <w:bCs/>
      <w:color w:val="000000"/>
      <w:spacing w:val="-10"/>
      <w:w w:val="100"/>
      <w:position w:val="0"/>
      <w:sz w:val="24"/>
      <w:szCs w:val="24"/>
      <w:u w:val="none"/>
      <w:lang w:val="zh-TW"/>
    </w:rPr>
  </w:style>
  <w:style w:type="character" w:customStyle="1" w:styleId="54">
    <w:name w:val="正文文本 (19) + 间距 0 pt"/>
    <w:qFormat/>
    <w:uiPriority w:val="0"/>
    <w:rPr>
      <w:rFonts w:ascii="MingLiU" w:hAnsi="MingLiU" w:eastAsia="MingLiU" w:cs="MingLiU"/>
      <w:color w:val="000000"/>
      <w:spacing w:val="10"/>
      <w:w w:val="100"/>
      <w:position w:val="0"/>
      <w:sz w:val="26"/>
      <w:szCs w:val="26"/>
      <w:u w:val="none"/>
      <w:lang w:val="zh-TW"/>
    </w:rPr>
  </w:style>
  <w:style w:type="character" w:customStyle="1" w:styleId="55">
    <w:name w:val="正文文本 (5)_"/>
    <w:link w:val="20"/>
    <w:qFormat/>
    <w:uiPriority w:val="0"/>
    <w:rPr>
      <w:rFonts w:ascii="MS Mincho" w:hAnsi="MS Mincho" w:eastAsia="MS Mincho" w:cs="MS Mincho"/>
      <w:sz w:val="28"/>
      <w:szCs w:val="28"/>
      <w:u w:val="none"/>
      <w:lang w:val="en-US"/>
    </w:rPr>
  </w:style>
  <w:style w:type="character" w:customStyle="1" w:styleId="56">
    <w:name w:val="正文文本 + MS Mincho12"/>
    <w:qFormat/>
    <w:uiPriority w:val="0"/>
    <w:rPr>
      <w:rFonts w:ascii="MS Mincho" w:hAnsi="MS Mincho" w:eastAsia="MS Mincho" w:cs="MS Mincho"/>
      <w:color w:val="000000"/>
      <w:spacing w:val="-10"/>
      <w:w w:val="100"/>
      <w:position w:val="0"/>
      <w:sz w:val="22"/>
      <w:szCs w:val="22"/>
      <w:u w:val="none"/>
      <w:lang w:val="zh-TW"/>
    </w:rPr>
  </w:style>
  <w:style w:type="character" w:customStyle="1" w:styleId="57">
    <w:name w:val="正文文本 (19) + 6.5 pt"/>
    <w:qFormat/>
    <w:uiPriority w:val="0"/>
    <w:rPr>
      <w:rFonts w:ascii="MingLiU" w:hAnsi="MingLiU" w:eastAsia="MingLiU" w:cs="MingLiU"/>
      <w:color w:val="000000"/>
      <w:spacing w:val="0"/>
      <w:w w:val="100"/>
      <w:position w:val="0"/>
      <w:sz w:val="13"/>
      <w:szCs w:val="13"/>
      <w:u w:val="none"/>
      <w:lang w:val="zh-CN"/>
    </w:rPr>
  </w:style>
  <w:style w:type="character" w:customStyle="1" w:styleId="58">
    <w:name w:val="正文文本 Exact"/>
    <w:qFormat/>
    <w:uiPriority w:val="0"/>
    <w:rPr>
      <w:rFonts w:ascii="MingLiU" w:hAnsi="MingLiU" w:eastAsia="MingLiU" w:cs="MingLiU"/>
      <w:spacing w:val="25"/>
      <w:u w:val="none"/>
    </w:rPr>
  </w:style>
  <w:style w:type="character" w:customStyle="1" w:styleId="59">
    <w:name w:val="正文文本 + 11 pt3"/>
    <w:qFormat/>
    <w:uiPriority w:val="0"/>
    <w:rPr>
      <w:rFonts w:ascii="MingLiU" w:hAnsi="MingLiU" w:eastAsia="MingLiU" w:cs="MingLiU"/>
      <w:color w:val="000000"/>
      <w:spacing w:val="0"/>
      <w:w w:val="100"/>
      <w:position w:val="0"/>
      <w:sz w:val="22"/>
      <w:szCs w:val="22"/>
      <w:u w:val="none"/>
      <w:lang w:val="zh-TW"/>
    </w:rPr>
  </w:style>
  <w:style w:type="character" w:customStyle="1" w:styleId="60">
    <w:name w:val="正文文本 + Sylfaen3"/>
    <w:qFormat/>
    <w:uiPriority w:val="0"/>
    <w:rPr>
      <w:rFonts w:ascii="Sylfaen" w:hAnsi="Sylfaen" w:eastAsia="Sylfaen" w:cs="Sylfaen"/>
      <w:b/>
      <w:bCs/>
      <w:color w:val="000000"/>
      <w:spacing w:val="0"/>
      <w:w w:val="100"/>
      <w:position w:val="0"/>
      <w:sz w:val="27"/>
      <w:szCs w:val="27"/>
      <w:u w:val="none"/>
      <w:lang w:val="en-US"/>
    </w:rPr>
  </w:style>
  <w:style w:type="character" w:customStyle="1" w:styleId="61">
    <w:name w:val="正文文本 (10)_"/>
    <w:link w:val="23"/>
    <w:qFormat/>
    <w:uiPriority w:val="0"/>
    <w:rPr>
      <w:rFonts w:ascii="MingLiU" w:hAnsi="MingLiU" w:eastAsia="MingLiU" w:cs="MingLiU"/>
      <w:b/>
      <w:bCs/>
      <w:sz w:val="23"/>
      <w:szCs w:val="23"/>
      <w:u w:val="none"/>
    </w:rPr>
  </w:style>
  <w:style w:type="character" w:customStyle="1" w:styleId="62">
    <w:name w:val="正文文本 (19) + 间距 -1 pt"/>
    <w:qFormat/>
    <w:uiPriority w:val="0"/>
    <w:rPr>
      <w:rFonts w:ascii="MingLiU" w:hAnsi="MingLiU" w:eastAsia="MingLiU" w:cs="MingLiU"/>
      <w:color w:val="000000"/>
      <w:spacing w:val="-20"/>
      <w:w w:val="100"/>
      <w:position w:val="0"/>
      <w:sz w:val="26"/>
      <w:szCs w:val="26"/>
      <w:u w:val="none"/>
      <w:lang w:val="zh-TW"/>
    </w:rPr>
  </w:style>
  <w:style w:type="character" w:customStyle="1" w:styleId="63">
    <w:name w:val="正文文本 (6) + Sylfaen"/>
    <w:qFormat/>
    <w:uiPriority w:val="0"/>
    <w:rPr>
      <w:rFonts w:ascii="Sylfaen" w:hAnsi="Sylfaen" w:eastAsia="Sylfaen" w:cs="Sylfaen"/>
      <w:b/>
      <w:bCs/>
      <w:color w:val="000000"/>
      <w:spacing w:val="30"/>
      <w:w w:val="100"/>
      <w:position w:val="0"/>
      <w:sz w:val="27"/>
      <w:szCs w:val="27"/>
      <w:u w:val="none"/>
      <w:lang w:val="en-US"/>
    </w:rPr>
  </w:style>
  <w:style w:type="character" w:customStyle="1" w:styleId="64">
    <w:name w:val="表格标题 (4) + Sylfaen"/>
    <w:qFormat/>
    <w:uiPriority w:val="0"/>
    <w:rPr>
      <w:rFonts w:ascii="Sylfaen" w:hAnsi="Sylfaen" w:eastAsia="Sylfaen" w:cs="Sylfaen"/>
      <w:b/>
      <w:bCs/>
      <w:color w:val="000000"/>
      <w:spacing w:val="30"/>
      <w:w w:val="100"/>
      <w:position w:val="0"/>
      <w:sz w:val="27"/>
      <w:szCs w:val="27"/>
      <w:u w:val="none"/>
      <w:lang w:val="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21759</Words>
  <Characters>22495</Characters>
  <Lines>125</Lines>
  <Paragraphs>35</Paragraphs>
  <TotalTime>129</TotalTime>
  <ScaleCrop>false</ScaleCrop>
  <LinksUpToDate>false</LinksUpToDate>
  <CharactersWithSpaces>22885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2021-01-08T11:49:00Z</dcterms:created>
  <dc:creator>Administrator</dc:creator>
  <cp:lastModifiedBy>lenovo</cp:lastModifiedBy>
  <cp:lastPrinted>2023-06-07T15:28:26Z</cp:lastPrinted>
  <dcterms:modified xsi:type="dcterms:W3CDTF">2023-06-07T15:54:20Z</dcterms:modified>
  <dc:title>清城区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6449C054F7C74EA996E3AFDBE15C0716_13</vt:lpwstr>
  </property>
</Properties>
</file>