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黑体"/>
          <w:b w:val="0"/>
          <w:bCs w:val="0"/>
          <w:kern w:val="2"/>
          <w:sz w:val="32"/>
          <w:szCs w:val="32"/>
          <w:lang w:val="en-US"/>
        </w:rPr>
      </w:pPr>
      <w:r>
        <w:rPr>
          <w:rFonts w:hint="eastAsia" w:ascii="黑体" w:hAnsi="黑体" w:eastAsia="黑体" w:cs="黑体"/>
          <w:b w:val="0"/>
          <w:bCs w:val="0"/>
          <w:kern w:val="2"/>
          <w:sz w:val="32"/>
          <w:szCs w:val="32"/>
          <w:lang w:val="en-US"/>
        </w:rPr>
        <w:t>附件5</w:t>
      </w:r>
    </w:p>
    <w:p>
      <w:pPr>
        <w:widowControl w:val="0"/>
        <w:spacing w:after="0" w:line="360" w:lineRule="auto"/>
        <w:jc w:val="center"/>
        <w:rPr>
          <w:rFonts w:hint="eastAsia" w:ascii="宋体" w:hAnsi="宋体" w:eastAsia="宋体" w:cs="宋体"/>
          <w:b/>
          <w:bCs/>
          <w:sz w:val="72"/>
          <w:szCs w:val="72"/>
          <w:lang w:val="en-US" w:eastAsia="zh-CN"/>
        </w:rPr>
      </w:pPr>
    </w:p>
    <w:p>
      <w:pPr>
        <w:widowControl w:val="0"/>
        <w:spacing w:after="0" w:line="360" w:lineRule="auto"/>
        <w:jc w:val="center"/>
        <w:rPr>
          <w:rFonts w:hint="eastAsia" w:ascii="宋体" w:hAnsi="宋体" w:eastAsia="宋体" w:cs="宋体"/>
          <w:b/>
          <w:bCs/>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方正小标宋_GBK" w:hAnsi="方正小标宋_GBK" w:eastAsia="方正小标宋_GBK" w:cs="方正小标宋_GBK"/>
          <w:b w:val="0"/>
          <w:bCs w:val="0"/>
          <w:sz w:val="72"/>
          <w:szCs w:val="72"/>
          <w:lang w:val="en-US" w:eastAsia="zh-CN"/>
        </w:rPr>
      </w:pPr>
      <w:r>
        <w:rPr>
          <w:rFonts w:hint="eastAsia" w:ascii="方正小标宋_GBK" w:hAnsi="方正小标宋_GBK" w:eastAsia="方正小标宋_GBK" w:cs="方正小标宋_GBK"/>
          <w:b w:val="0"/>
          <w:bCs w:val="0"/>
          <w:sz w:val="72"/>
          <w:szCs w:val="72"/>
          <w:lang w:val="en-US" w:eastAsia="zh-CN"/>
        </w:rPr>
        <w:t>清城区危险化学品事故</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bCs/>
          <w:sz w:val="72"/>
          <w:szCs w:val="72"/>
          <w:lang w:val="en-US" w:eastAsia="zh-CN"/>
        </w:rPr>
      </w:pPr>
      <w:r>
        <w:rPr>
          <w:rFonts w:hint="eastAsia" w:ascii="方正小标宋_GBK" w:hAnsi="方正小标宋_GBK" w:eastAsia="方正小标宋_GBK" w:cs="方正小标宋_GBK"/>
          <w:b w:val="0"/>
          <w:bCs w:val="0"/>
          <w:sz w:val="72"/>
          <w:szCs w:val="72"/>
          <w:lang w:val="en-US" w:eastAsia="zh-CN"/>
        </w:rPr>
        <w:t>应急预案</w:t>
      </w:r>
    </w:p>
    <w:p>
      <w:pPr>
        <w:widowControl w:val="0"/>
        <w:spacing w:after="0" w:line="360" w:lineRule="auto"/>
        <w:jc w:val="center"/>
        <w:rPr>
          <w:rFonts w:hint="eastAsia" w:ascii="宋体" w:hAnsi="宋体" w:eastAsia="宋体" w:cs="宋体"/>
          <w:b/>
          <w:bCs/>
          <w:sz w:val="72"/>
          <w:szCs w:val="72"/>
          <w:lang w:val="en-US" w:eastAsia="zh-CN"/>
        </w:rPr>
      </w:pPr>
    </w:p>
    <w:p>
      <w:pPr>
        <w:widowControl w:val="0"/>
        <w:spacing w:after="240" w:afterLines="100" w:line="600" w:lineRule="exact"/>
        <w:jc w:val="both"/>
        <w:rPr>
          <w:rFonts w:hint="eastAsia" w:ascii="宋体" w:hAnsi="宋体" w:cs="宋体"/>
          <w:b/>
          <w:spacing w:val="20"/>
          <w:kern w:val="2"/>
          <w:sz w:val="52"/>
          <w:szCs w:val="52"/>
          <w:shd w:val="clear" w:color="auto" w:fill="FFFFFF"/>
          <w:lang w:val="en-US"/>
        </w:rPr>
      </w:pPr>
    </w:p>
    <w:p>
      <w:pPr>
        <w:widowControl w:val="0"/>
        <w:spacing w:after="240" w:afterLines="100" w:line="600" w:lineRule="exact"/>
        <w:jc w:val="both"/>
        <w:rPr>
          <w:rFonts w:hint="eastAsia" w:ascii="宋体" w:hAnsi="宋体" w:cs="宋体"/>
          <w:b/>
          <w:spacing w:val="20"/>
          <w:kern w:val="2"/>
          <w:sz w:val="52"/>
          <w:szCs w:val="52"/>
          <w:shd w:val="clear" w:color="auto" w:fill="FFFFFF"/>
          <w:lang w:val="en-US"/>
        </w:rPr>
      </w:pPr>
    </w:p>
    <w:p>
      <w:pPr>
        <w:widowControl w:val="0"/>
        <w:spacing w:after="240" w:afterLines="100" w:line="600" w:lineRule="exact"/>
        <w:jc w:val="both"/>
        <w:rPr>
          <w:rFonts w:hint="eastAsia" w:ascii="宋体" w:hAnsi="宋体" w:cs="宋体"/>
          <w:b/>
          <w:spacing w:val="20"/>
          <w:kern w:val="2"/>
          <w:sz w:val="52"/>
          <w:szCs w:val="52"/>
          <w:shd w:val="clear" w:color="auto" w:fill="FFFFFF"/>
          <w:lang w:val="en-US"/>
        </w:rPr>
      </w:pPr>
    </w:p>
    <w:p>
      <w:pPr>
        <w:widowControl w:val="0"/>
        <w:spacing w:after="240" w:afterLines="100" w:line="600" w:lineRule="exact"/>
        <w:jc w:val="both"/>
        <w:rPr>
          <w:rFonts w:hint="eastAsia" w:ascii="宋体" w:hAnsi="宋体" w:cs="宋体"/>
          <w:b/>
          <w:spacing w:val="20"/>
          <w:kern w:val="2"/>
          <w:sz w:val="52"/>
          <w:szCs w:val="52"/>
          <w:shd w:val="clear" w:color="auto" w:fill="FFFFFF"/>
          <w:lang w:val="en-US"/>
        </w:rPr>
      </w:pPr>
    </w:p>
    <w:p>
      <w:pPr>
        <w:widowControl w:val="0"/>
        <w:spacing w:after="240" w:afterLines="100" w:line="600" w:lineRule="exact"/>
        <w:jc w:val="both"/>
        <w:rPr>
          <w:rFonts w:hint="eastAsia" w:ascii="宋体" w:hAnsi="宋体" w:cs="宋体"/>
          <w:b/>
          <w:spacing w:val="20"/>
          <w:kern w:val="2"/>
          <w:sz w:val="52"/>
          <w:szCs w:val="52"/>
          <w:shd w:val="clear" w:color="auto" w:fill="FFFFFF"/>
          <w:lang w:val="en-US"/>
        </w:rPr>
      </w:pPr>
    </w:p>
    <w:p>
      <w:pPr>
        <w:widowControl w:val="0"/>
        <w:spacing w:after="0" w:line="360" w:lineRule="auto"/>
        <w:ind w:firstLine="640" w:firstLineChars="200"/>
        <w:jc w:val="center"/>
        <w:rPr>
          <w:rFonts w:hint="eastAsia" w:ascii="宋体" w:hAnsi="宋体" w:cs="Arial"/>
          <w:sz w:val="32"/>
          <w:szCs w:val="32"/>
          <w:lang w:val="en-US"/>
        </w:rPr>
      </w:pPr>
    </w:p>
    <w:p>
      <w:pPr>
        <w:pageBreakBefore/>
        <w:widowControl w:val="0"/>
        <w:spacing w:before="240" w:beforeLines="100" w:after="240" w:afterLines="100" w:line="360" w:lineRule="auto"/>
        <w:jc w:val="center"/>
        <w:rPr>
          <w:rFonts w:hint="eastAsia" w:ascii="宋体" w:hAnsi="宋体" w:cs="宋体"/>
          <w:b/>
          <w:spacing w:val="15"/>
          <w:kern w:val="2"/>
          <w:sz w:val="52"/>
          <w:szCs w:val="52"/>
          <w:shd w:val="clear" w:color="auto" w:fill="FFFFFF"/>
          <w:lang w:val="en-US"/>
        </w:rPr>
        <w:sectPr>
          <w:footerReference r:id="rId5" w:type="default"/>
          <w:pgSz w:w="11906" w:h="16838"/>
          <w:pgMar w:top="1418" w:right="1418" w:bottom="1418" w:left="1418" w:header="851" w:footer="992" w:gutter="0"/>
          <w:pgNumType w:fmt="decimal" w:start="1"/>
          <w:cols w:space="720" w:num="1"/>
          <w:docGrid w:linePitch="360" w:charSpace="0"/>
        </w:sectPr>
      </w:pPr>
    </w:p>
    <w:p>
      <w:pPr>
        <w:pageBreakBefore/>
        <w:widowControl w:val="0"/>
        <w:spacing w:before="240" w:beforeLines="100" w:after="240" w:afterLines="100" w:line="360" w:lineRule="auto"/>
        <w:jc w:val="center"/>
        <w:rPr>
          <w:rFonts w:hint="eastAsia" w:ascii="方正小标宋_GBK" w:hAnsi="方正小标宋_GBK" w:eastAsia="方正小标宋_GBK" w:cs="方正小标宋_GBK"/>
          <w:b w:val="0"/>
          <w:bCs/>
          <w:spacing w:val="15"/>
          <w:kern w:val="2"/>
          <w:sz w:val="44"/>
          <w:szCs w:val="44"/>
          <w:shd w:val="clear" w:color="auto" w:fill="FFFFFF"/>
          <w:lang w:val="en-US"/>
        </w:rPr>
      </w:pPr>
      <w:r>
        <w:rPr>
          <w:rFonts w:hint="eastAsia" w:ascii="方正小标宋_GBK" w:hAnsi="方正小标宋_GBK" w:eastAsia="方正小标宋_GBK" w:cs="方正小标宋_GBK"/>
          <w:b w:val="0"/>
          <w:bCs/>
          <w:spacing w:val="15"/>
          <w:kern w:val="2"/>
          <w:sz w:val="44"/>
          <w:szCs w:val="44"/>
          <w:shd w:val="clear" w:color="auto" w:fill="FFFFFF"/>
          <w:lang w:val="en-US"/>
        </w:rPr>
        <w:t>前  言</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cs="Arial"/>
          <w:sz w:val="28"/>
          <w:szCs w:val="28"/>
          <w:lang w:val="en-US"/>
        </w:rPr>
      </w:pPr>
      <w:r>
        <w:rPr>
          <w:rFonts w:hint="eastAsia" w:ascii="仿宋_GB2312" w:hAnsi="仿宋_GB2312" w:eastAsia="仿宋_GB2312" w:cs="仿宋_GB2312"/>
          <w:sz w:val="32"/>
          <w:szCs w:val="32"/>
          <w:lang w:val="en-US"/>
        </w:rPr>
        <w:t>为加强清城区危险化学品生产安全事故的应急管理，规范应急处置程序，建立健全快速、有效的应急救援长效管理机制，提高清城区应急管理工作人员对危险化学品生产安全事故的反应能力，预防和减少危险化学品生产安全事故造成的人身伤亡和财产损失，预防次生、衍生事故的发生，有效保障人民群众生命财产安全，根据《中华人民共和国突发事件应对法》、《生产安全事故应急预案管理办法》（应急管理部令第2号）等相关法律法规、标准规范的规定，结合清城区实际情况，编制本预案。</w:t>
      </w:r>
    </w:p>
    <w:p>
      <w:pPr>
        <w:widowControl w:val="0"/>
        <w:spacing w:after="0" w:line="360" w:lineRule="auto"/>
        <w:jc w:val="center"/>
        <w:rPr>
          <w:rFonts w:hint="eastAsia" w:ascii="宋体" w:hAnsi="宋体" w:cs="宋体"/>
          <w:b/>
          <w:spacing w:val="15"/>
          <w:kern w:val="2"/>
          <w:sz w:val="44"/>
          <w:szCs w:val="44"/>
          <w:shd w:val="clear" w:color="auto" w:fill="FFFFFF"/>
          <w:lang w:val="en-US"/>
        </w:rPr>
        <w:sectPr>
          <w:footerReference r:id="rId6" w:type="default"/>
          <w:pgSz w:w="11906" w:h="16838"/>
          <w:pgMar w:top="1418" w:right="1418" w:bottom="1418" w:left="1418" w:header="851" w:footer="992" w:gutter="0"/>
          <w:pgNumType w:fmt="decimal" w:start="1"/>
          <w:cols w:space="720" w:num="1"/>
          <w:docGrid w:linePitch="360" w:charSpace="0"/>
        </w:sectPr>
      </w:pPr>
    </w:p>
    <w:p>
      <w:pPr>
        <w:widowControl w:val="0"/>
        <w:spacing w:after="0" w:line="360" w:lineRule="auto"/>
        <w:jc w:val="center"/>
        <w:rPr>
          <w:rFonts w:hint="eastAsia" w:ascii="宋体" w:hAnsi="宋体" w:cs="宋体"/>
          <w:spacing w:val="15"/>
          <w:kern w:val="2"/>
          <w:sz w:val="44"/>
          <w:szCs w:val="44"/>
          <w:shd w:val="clear" w:color="auto" w:fill="FFFFFF"/>
          <w:lang w:val="en-US"/>
        </w:rPr>
      </w:pPr>
      <w:r>
        <w:rPr>
          <w:rFonts w:hint="eastAsia" w:ascii="宋体" w:hAnsi="宋体" w:cs="宋体"/>
          <w:b/>
          <w:spacing w:val="15"/>
          <w:kern w:val="2"/>
          <w:sz w:val="44"/>
          <w:szCs w:val="44"/>
          <w:shd w:val="clear" w:color="auto" w:fill="FFFFFF"/>
          <w:lang w:val="en-US"/>
        </w:rPr>
        <w:t>目  录</w:t>
      </w:r>
    </w:p>
    <w:p>
      <w:pPr>
        <w:pStyle w:val="10"/>
        <w:tabs>
          <w:tab w:val="right" w:leader="dot" w:pos="9070"/>
        </w:tabs>
        <w:spacing w:line="240" w:lineRule="auto"/>
        <w:rPr>
          <w:rFonts w:hint="eastAsia" w:ascii="楷体" w:hAnsi="楷体" w:eastAsia="楷体" w:cs="楷体"/>
          <w:b w:val="0"/>
          <w:sz w:val="24"/>
          <w:szCs w:val="24"/>
          <w:lang w:val="en-US" w:eastAsia="zh-CN"/>
        </w:rPr>
      </w:pPr>
      <w:bookmarkStart w:id="0" w:name="_Toc32565"/>
      <w:bookmarkStart w:id="1" w:name="_Toc31948"/>
      <w:bookmarkStart w:id="2" w:name="_Toc19134"/>
      <w:r>
        <w:rPr>
          <w:rFonts w:hint="eastAsia" w:ascii="楷体" w:hAnsi="楷体" w:eastAsia="楷体" w:cs="楷体"/>
          <w:b w:val="0"/>
          <w:bCs w:val="0"/>
          <w:caps w:val="0"/>
          <w:sz w:val="24"/>
          <w:szCs w:val="24"/>
        </w:rPr>
        <w:fldChar w:fldCharType="begin"/>
      </w:r>
      <w:r>
        <w:rPr>
          <w:rFonts w:hint="eastAsia" w:ascii="楷体" w:hAnsi="楷体" w:eastAsia="楷体" w:cs="楷体"/>
          <w:b w:val="0"/>
          <w:bCs w:val="0"/>
          <w:caps w:val="0"/>
          <w:sz w:val="24"/>
          <w:szCs w:val="24"/>
        </w:rPr>
        <w:instrText xml:space="preserve"> TOC \o "1-2" \h \z \u </w:instrText>
      </w:r>
      <w:r>
        <w:rPr>
          <w:rFonts w:hint="eastAsia" w:ascii="楷体" w:hAnsi="楷体" w:eastAsia="楷体" w:cs="楷体"/>
          <w:b w:val="0"/>
          <w:bCs w:val="0"/>
          <w:caps w:val="0"/>
          <w:sz w:val="24"/>
          <w:szCs w:val="24"/>
        </w:rPr>
        <w:fldChar w:fldCharType="separate"/>
      </w: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"_Toc29229"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1</w:t>
      </w:r>
      <w:r>
        <w:rPr>
          <w:rFonts w:hint="eastAsia" w:ascii="楷体" w:hAnsi="楷体" w:eastAsia="楷体" w:cs="楷体"/>
          <w:b w:val="0"/>
          <w:sz w:val="24"/>
          <w:szCs w:val="24"/>
          <w:lang w:val="en-US" w:eastAsia="zh-CN"/>
        </w:rPr>
        <w:t xml:space="preserve"> </w:t>
      </w:r>
      <w:r>
        <w:rPr>
          <w:rFonts w:hint="eastAsia" w:ascii="楷体" w:hAnsi="楷体" w:eastAsia="楷体" w:cs="楷体"/>
          <w:b w:val="0"/>
          <w:sz w:val="24"/>
          <w:szCs w:val="24"/>
          <w:lang w:val="en-US"/>
        </w:rPr>
        <w:t>总  则</w:t>
      </w:r>
      <w:r>
        <w:rPr>
          <w:rFonts w:hint="eastAsia" w:ascii="楷体" w:hAnsi="楷体" w:eastAsia="楷体" w:cs="楷体"/>
          <w:b w:val="0"/>
          <w:sz w:val="24"/>
          <w:szCs w:val="24"/>
        </w:rPr>
        <w:tab/>
      </w:r>
      <w:r>
        <w:rPr>
          <w:rFonts w:hint="eastAsia" w:ascii="楷体" w:hAnsi="楷体" w:eastAsia="楷体" w:cs="楷体"/>
          <w:b w:val="0"/>
          <w:sz w:val="24"/>
          <w:szCs w:val="24"/>
          <w:lang w:val="en-US" w:eastAsia="zh-CN"/>
        </w:rPr>
        <w:t xml:space="preserve"> </w:t>
      </w:r>
      <w:r>
        <w:rPr>
          <w:rFonts w:hint="eastAsia" w:ascii="楷体" w:hAnsi="楷体" w:eastAsia="楷体" w:cs="楷体"/>
          <w:b w:val="0"/>
          <w:sz w:val="24"/>
          <w:szCs w:val="24"/>
        </w:rPr>
        <w:fldChar w:fldCharType="end"/>
      </w:r>
      <w:r>
        <w:rPr>
          <w:rFonts w:hint="eastAsia" w:ascii="楷体" w:hAnsi="楷体" w:eastAsia="楷体" w:cs="楷体"/>
          <w:b w:val="0"/>
          <w:sz w:val="24"/>
          <w:szCs w:val="24"/>
          <w:lang w:val="en-US" w:eastAsia="zh-CN"/>
        </w:rPr>
        <w:t>1</w:t>
      </w:r>
    </w:p>
    <w:p>
      <w:pPr>
        <w:pStyle w:val="11"/>
        <w:tabs>
          <w:tab w:val="right" w:leader="dot" w:pos="9070"/>
        </w:tabs>
        <w:spacing w:line="240" w:lineRule="auto"/>
        <w:rPr>
          <w:rFonts w:hint="eastAsia" w:ascii="楷体" w:hAnsi="楷体" w:eastAsia="楷体" w:cs="楷体"/>
          <w:bCs/>
          <w:sz w:val="24"/>
          <w:szCs w:val="24"/>
          <w:lang w:val="en-US" w:eastAsia="zh-CN"/>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"_Toc297" </w:instrText>
      </w:r>
      <w:r>
        <w:rPr>
          <w:rFonts w:hint="eastAsia" w:ascii="楷体" w:hAnsi="楷体" w:eastAsia="楷体" w:cs="楷体"/>
          <w:sz w:val="24"/>
          <w:szCs w:val="24"/>
        </w:rPr>
        <w:fldChar w:fldCharType="separate"/>
      </w:r>
      <w:r>
        <w:rPr>
          <w:rFonts w:hint="eastAsia" w:ascii="楷体" w:hAnsi="楷体" w:eastAsia="楷体" w:cs="楷体"/>
          <w:bCs/>
          <w:sz w:val="24"/>
          <w:szCs w:val="24"/>
        </w:rPr>
        <w:t>1.1 编制目的</w:t>
      </w:r>
      <w:r>
        <w:rPr>
          <w:rFonts w:hint="eastAsia" w:ascii="楷体" w:hAnsi="楷体" w:eastAsia="楷体" w:cs="楷体"/>
          <w:bCs/>
          <w:sz w:val="24"/>
          <w:szCs w:val="24"/>
        </w:rPr>
        <w:tab/>
      </w:r>
      <w:r>
        <w:rPr>
          <w:rFonts w:hint="eastAsia" w:ascii="楷体" w:hAnsi="楷体" w:eastAsia="楷体" w:cs="楷体"/>
          <w:bCs/>
          <w:sz w:val="24"/>
          <w:szCs w:val="24"/>
          <w:lang w:val="en-US" w:eastAsia="zh-CN"/>
        </w:rPr>
        <w:t xml:space="preserve"> </w:t>
      </w:r>
      <w:r>
        <w:rPr>
          <w:rFonts w:hint="eastAsia" w:ascii="楷体" w:hAnsi="楷体" w:eastAsia="楷体" w:cs="楷体"/>
          <w:bCs/>
          <w:sz w:val="24"/>
          <w:szCs w:val="24"/>
        </w:rPr>
        <w:fldChar w:fldCharType="end"/>
      </w:r>
      <w:r>
        <w:rPr>
          <w:rFonts w:hint="eastAsia" w:ascii="楷体" w:hAnsi="楷体" w:eastAsia="楷体" w:cs="楷体"/>
          <w:bCs/>
          <w:sz w:val="24"/>
          <w:szCs w:val="24"/>
          <w:lang w:val="en-US" w:eastAsia="zh-CN"/>
        </w:rPr>
        <w:t>1</w:t>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"_Toc16872" </w:instrText>
      </w:r>
      <w:r>
        <w:rPr>
          <w:rFonts w:hint="eastAsia" w:ascii="楷体" w:hAnsi="楷体" w:eastAsia="楷体" w:cs="楷体"/>
          <w:sz w:val="24"/>
          <w:szCs w:val="24"/>
        </w:rPr>
        <w:fldChar w:fldCharType="separate"/>
      </w:r>
      <w:r>
        <w:rPr>
          <w:rFonts w:hint="eastAsia" w:ascii="楷体" w:hAnsi="楷体" w:eastAsia="楷体" w:cs="楷体"/>
          <w:bCs/>
          <w:sz w:val="24"/>
          <w:szCs w:val="24"/>
        </w:rPr>
        <w:t>1.2 编制依据</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_Toc16872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- 1 -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"_Toc11011" </w:instrText>
      </w:r>
      <w:r>
        <w:rPr>
          <w:rFonts w:hint="eastAsia" w:ascii="楷体" w:hAnsi="楷体" w:eastAsia="楷体" w:cs="楷体"/>
          <w:sz w:val="24"/>
          <w:szCs w:val="24"/>
        </w:rPr>
        <w:fldChar w:fldCharType="separate"/>
      </w:r>
      <w:r>
        <w:rPr>
          <w:rFonts w:hint="eastAsia" w:ascii="楷体" w:hAnsi="楷体" w:eastAsia="楷体" w:cs="楷体"/>
          <w:bCs/>
          <w:sz w:val="24"/>
          <w:szCs w:val="24"/>
        </w:rPr>
        <w:t>1.</w:t>
      </w:r>
      <w:r>
        <w:rPr>
          <w:rFonts w:hint="eastAsia" w:ascii="楷体" w:hAnsi="楷体" w:eastAsia="楷体" w:cs="楷体"/>
          <w:bCs/>
          <w:sz w:val="24"/>
          <w:szCs w:val="24"/>
          <w:lang w:val="en-US"/>
        </w:rPr>
        <w:t>3</w:t>
      </w:r>
      <w:r>
        <w:rPr>
          <w:rFonts w:hint="eastAsia" w:ascii="楷体" w:hAnsi="楷体" w:eastAsia="楷体" w:cs="楷体"/>
          <w:bCs/>
          <w:sz w:val="24"/>
          <w:szCs w:val="24"/>
        </w:rPr>
        <w:t xml:space="preserve"> 适用范围</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_Toc11011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"_Toc20567"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 xml:space="preserve">1.4 </w:t>
      </w:r>
      <w:r>
        <w:rPr>
          <w:rFonts w:hint="eastAsia" w:ascii="楷体" w:hAnsi="楷体" w:eastAsia="楷体" w:cs="楷体"/>
          <w:bCs/>
          <w:sz w:val="24"/>
          <w:szCs w:val="24"/>
        </w:rPr>
        <w:t>应急预案体系</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_Toc20567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"_Toc22108" </w:instrText>
      </w:r>
      <w:r>
        <w:rPr>
          <w:rFonts w:hint="eastAsia" w:ascii="楷体" w:hAnsi="楷体" w:eastAsia="楷体" w:cs="楷体"/>
          <w:sz w:val="24"/>
          <w:szCs w:val="24"/>
        </w:rPr>
        <w:fldChar w:fldCharType="separate"/>
      </w:r>
      <w:r>
        <w:rPr>
          <w:rFonts w:hint="eastAsia" w:ascii="楷体" w:hAnsi="楷体" w:eastAsia="楷体" w:cs="楷体"/>
          <w:bCs/>
          <w:sz w:val="24"/>
          <w:szCs w:val="24"/>
        </w:rPr>
        <w:t>1.</w:t>
      </w:r>
      <w:r>
        <w:rPr>
          <w:rFonts w:hint="eastAsia" w:ascii="楷体" w:hAnsi="楷体" w:eastAsia="楷体" w:cs="楷体"/>
          <w:bCs/>
          <w:sz w:val="24"/>
          <w:szCs w:val="24"/>
          <w:lang w:val="en-US"/>
        </w:rPr>
        <w:t>5</w:t>
      </w:r>
      <w:r>
        <w:rPr>
          <w:rFonts w:hint="eastAsia" w:ascii="楷体" w:hAnsi="楷体" w:eastAsia="楷体" w:cs="楷体"/>
          <w:bCs/>
          <w:sz w:val="24"/>
          <w:szCs w:val="24"/>
        </w:rPr>
        <w:t xml:space="preserve"> 工作原则</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_Toc22108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"_Toc23166"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2 危险性分析</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_Toc23166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- 4 -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"_Toc25337" </w:instrText>
      </w:r>
      <w:r>
        <w:rPr>
          <w:rFonts w:hint="eastAsia" w:ascii="楷体" w:hAnsi="楷体" w:eastAsia="楷体" w:cs="楷体"/>
          <w:sz w:val="24"/>
          <w:szCs w:val="24"/>
        </w:rPr>
        <w:fldChar w:fldCharType="separate"/>
      </w:r>
      <w:r>
        <w:rPr>
          <w:rFonts w:hint="eastAsia" w:ascii="楷体" w:hAnsi="楷体" w:eastAsia="楷体" w:cs="楷体"/>
          <w:bCs/>
          <w:sz w:val="24"/>
          <w:szCs w:val="24"/>
        </w:rPr>
        <w:t>2.1 行业概况</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_Toc25337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"_Toc17553"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2.2</w:t>
      </w:r>
      <w:r>
        <w:rPr>
          <w:rFonts w:hint="eastAsia" w:ascii="楷体" w:hAnsi="楷体" w:eastAsia="楷体" w:cs="楷体"/>
          <w:bCs/>
          <w:sz w:val="24"/>
          <w:szCs w:val="24"/>
        </w:rPr>
        <w:t xml:space="preserve"> 风险分析</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_Toc17553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- 6 -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"_Toc16802"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3</w:t>
      </w:r>
      <w:r>
        <w:rPr>
          <w:rFonts w:hint="eastAsia" w:ascii="楷体" w:hAnsi="楷体" w:eastAsia="楷体" w:cs="楷体"/>
          <w:b w:val="0"/>
          <w:sz w:val="24"/>
          <w:szCs w:val="24"/>
          <w:lang w:val="en-US" w:eastAsia="zh-CN"/>
        </w:rPr>
        <w:t xml:space="preserve"> </w:t>
      </w:r>
      <w:r>
        <w:rPr>
          <w:rFonts w:hint="eastAsia" w:ascii="楷体" w:hAnsi="楷体" w:eastAsia="楷体" w:cs="楷体"/>
          <w:b w:val="0"/>
          <w:sz w:val="24"/>
          <w:szCs w:val="24"/>
        </w:rPr>
        <w:t>应急救援机构及职责分工</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_Toc16802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- 9 -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"_Toc27670"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3.1 应急指挥部及职责</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_Toc27670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- 10 -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"_Toc12850"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3.2 应急指挥部办公室及职责</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_Toc12850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- 12 -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"_Toc20518" </w:instrText>
      </w:r>
      <w:r>
        <w:rPr>
          <w:rFonts w:hint="eastAsia" w:ascii="楷体" w:hAnsi="楷体" w:eastAsia="楷体" w:cs="楷体"/>
          <w:sz w:val="24"/>
          <w:szCs w:val="24"/>
        </w:rPr>
        <w:fldChar w:fldCharType="separate"/>
      </w:r>
      <w:r>
        <w:rPr>
          <w:rFonts w:hint="eastAsia" w:ascii="楷体" w:hAnsi="楷体" w:eastAsia="楷体" w:cs="楷体"/>
          <w:bCs/>
          <w:sz w:val="24"/>
          <w:szCs w:val="24"/>
        </w:rPr>
        <w:t>3.</w:t>
      </w:r>
      <w:r>
        <w:rPr>
          <w:rFonts w:hint="eastAsia" w:ascii="楷体" w:hAnsi="楷体" w:eastAsia="楷体" w:cs="楷体"/>
          <w:bCs/>
          <w:sz w:val="24"/>
          <w:szCs w:val="24"/>
          <w:lang w:val="en-US"/>
        </w:rPr>
        <w:t>3</w:t>
      </w:r>
      <w:r>
        <w:rPr>
          <w:rFonts w:hint="eastAsia" w:ascii="楷体" w:hAnsi="楷体" w:eastAsia="楷体" w:cs="楷体"/>
          <w:bCs/>
          <w:sz w:val="24"/>
          <w:szCs w:val="24"/>
        </w:rPr>
        <w:t xml:space="preserve"> 应急指挥部</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_Toc20518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- 12 -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"_Toc9061"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3.4 应急救援队伍</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_Toc9061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- 18 -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"_Toc26755"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3.5 应急救援专家</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_Toc26755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- 19 -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"_Toc18947" </w:instrText>
      </w:r>
      <w:r>
        <w:rPr>
          <w:rFonts w:hint="eastAsia" w:ascii="楷体" w:hAnsi="楷体" w:eastAsia="楷体" w:cs="楷体"/>
          <w:sz w:val="24"/>
          <w:szCs w:val="24"/>
        </w:rPr>
        <w:fldChar w:fldCharType="separate"/>
      </w:r>
      <w:r>
        <w:rPr>
          <w:rFonts w:hint="eastAsia" w:ascii="楷体" w:hAnsi="楷体" w:eastAsia="楷体" w:cs="楷体"/>
          <w:b w:val="0"/>
          <w:sz w:val="24"/>
          <w:szCs w:val="24"/>
        </w:rPr>
        <w:t>4 监测预警与信息报告</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_Toc18947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- 20 -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"_Toc2726"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4</w:t>
      </w:r>
      <w:r>
        <w:rPr>
          <w:rFonts w:hint="eastAsia" w:ascii="楷体" w:hAnsi="楷体" w:eastAsia="楷体" w:cs="楷体"/>
          <w:bCs/>
          <w:sz w:val="24"/>
          <w:szCs w:val="24"/>
        </w:rPr>
        <w:t>.1 预防</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_Toc2726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- 20 -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"_Toc29257"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4</w:t>
      </w:r>
      <w:r>
        <w:rPr>
          <w:rFonts w:hint="eastAsia" w:ascii="楷体" w:hAnsi="楷体" w:eastAsia="楷体" w:cs="楷体"/>
          <w:bCs/>
          <w:sz w:val="24"/>
          <w:szCs w:val="24"/>
        </w:rPr>
        <w:t>.2 监测</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_Toc29257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- 21 -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"_Toc29678"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4</w:t>
      </w:r>
      <w:r>
        <w:rPr>
          <w:rFonts w:hint="eastAsia" w:ascii="楷体" w:hAnsi="楷体" w:eastAsia="楷体" w:cs="楷体"/>
          <w:bCs/>
          <w:sz w:val="24"/>
          <w:szCs w:val="24"/>
        </w:rPr>
        <w:t>.3 预警</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_Toc29678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- 21 -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"_Toc26054"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4</w:t>
      </w:r>
      <w:r>
        <w:rPr>
          <w:rFonts w:hint="eastAsia" w:ascii="楷体" w:hAnsi="楷体" w:eastAsia="楷体" w:cs="楷体"/>
          <w:bCs/>
          <w:sz w:val="24"/>
          <w:szCs w:val="24"/>
        </w:rPr>
        <w:t>.</w:t>
      </w:r>
      <w:r>
        <w:rPr>
          <w:rFonts w:hint="eastAsia" w:ascii="楷体" w:hAnsi="楷体" w:eastAsia="楷体" w:cs="楷体"/>
          <w:bCs/>
          <w:sz w:val="24"/>
          <w:szCs w:val="24"/>
          <w:lang w:val="en-US"/>
        </w:rPr>
        <w:t xml:space="preserve">4 </w:t>
      </w:r>
      <w:r>
        <w:rPr>
          <w:rFonts w:hint="eastAsia" w:ascii="楷体" w:hAnsi="楷体" w:eastAsia="楷体" w:cs="楷体"/>
          <w:bCs/>
          <w:sz w:val="24"/>
          <w:szCs w:val="24"/>
        </w:rPr>
        <w:t>信息报告和共享</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_Toc26054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- 22 -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"_Toc2710"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5</w:t>
      </w:r>
      <w:r>
        <w:rPr>
          <w:rFonts w:hint="eastAsia" w:ascii="楷体" w:hAnsi="楷体" w:eastAsia="楷体" w:cs="楷体"/>
          <w:b w:val="0"/>
          <w:sz w:val="24"/>
          <w:szCs w:val="24"/>
          <w:lang w:val="en-US" w:eastAsia="zh-CN"/>
        </w:rPr>
        <w:t xml:space="preserve"> </w:t>
      </w:r>
      <w:r>
        <w:rPr>
          <w:rFonts w:hint="eastAsia" w:ascii="楷体" w:hAnsi="楷体" w:eastAsia="楷体" w:cs="楷体"/>
          <w:b w:val="0"/>
          <w:sz w:val="24"/>
          <w:szCs w:val="24"/>
          <w:lang w:val="en-US"/>
        </w:rPr>
        <w:t>应急响应</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_Toc2710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- 23 -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"_Toc20748" </w:instrText>
      </w:r>
      <w:r>
        <w:rPr>
          <w:rFonts w:hint="eastAsia" w:ascii="楷体" w:hAnsi="楷体" w:eastAsia="楷体" w:cs="楷体"/>
          <w:sz w:val="24"/>
          <w:szCs w:val="24"/>
        </w:rPr>
        <w:fldChar w:fldCharType="separate"/>
      </w:r>
      <w:r>
        <w:rPr>
          <w:rFonts w:hint="eastAsia" w:ascii="楷体" w:hAnsi="楷体" w:eastAsia="楷体" w:cs="楷体"/>
          <w:bCs/>
          <w:sz w:val="24"/>
          <w:szCs w:val="24"/>
        </w:rPr>
        <w:t>5.1 响应主体</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_Toc20748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- 23 -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"_Toc13094" </w:instrText>
      </w:r>
      <w:r>
        <w:rPr>
          <w:rFonts w:hint="eastAsia" w:ascii="楷体" w:hAnsi="楷体" w:eastAsia="楷体" w:cs="楷体"/>
          <w:sz w:val="24"/>
          <w:szCs w:val="24"/>
        </w:rPr>
        <w:fldChar w:fldCharType="separate"/>
      </w:r>
      <w:r>
        <w:rPr>
          <w:rFonts w:hint="eastAsia" w:ascii="楷体" w:hAnsi="楷体" w:eastAsia="楷体" w:cs="楷体"/>
          <w:bCs/>
          <w:sz w:val="24"/>
          <w:szCs w:val="24"/>
        </w:rPr>
        <w:t>5.2 响应程序</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_Toc13094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- 24 -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"_Toc12250" </w:instrText>
      </w:r>
      <w:r>
        <w:rPr>
          <w:rFonts w:hint="eastAsia" w:ascii="楷体" w:hAnsi="楷体" w:eastAsia="楷体" w:cs="楷体"/>
          <w:sz w:val="24"/>
          <w:szCs w:val="24"/>
        </w:rPr>
        <w:fldChar w:fldCharType="separate"/>
      </w:r>
      <w:r>
        <w:rPr>
          <w:rFonts w:hint="eastAsia" w:ascii="楷体" w:hAnsi="楷体" w:eastAsia="楷体" w:cs="楷体"/>
          <w:bCs/>
          <w:sz w:val="24"/>
          <w:szCs w:val="24"/>
        </w:rPr>
        <w:t>5.3 现场应急处置要点</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_Toc12250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- 25 -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"_Toc18023"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5.4 响应升级</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_Toc18023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- 30 -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"_Toc15281" </w:instrText>
      </w:r>
      <w:r>
        <w:rPr>
          <w:rFonts w:hint="eastAsia" w:ascii="楷体" w:hAnsi="楷体" w:eastAsia="楷体" w:cs="楷体"/>
          <w:sz w:val="24"/>
          <w:szCs w:val="24"/>
        </w:rPr>
        <w:fldChar w:fldCharType="separate"/>
      </w:r>
      <w:r>
        <w:rPr>
          <w:rFonts w:hint="eastAsia" w:ascii="楷体" w:hAnsi="楷体" w:eastAsia="楷体" w:cs="楷体"/>
          <w:bCs/>
          <w:sz w:val="24"/>
          <w:szCs w:val="24"/>
        </w:rPr>
        <w:t>5.</w:t>
      </w:r>
      <w:r>
        <w:rPr>
          <w:rFonts w:hint="eastAsia" w:ascii="楷体" w:hAnsi="楷体" w:eastAsia="楷体" w:cs="楷体"/>
          <w:bCs/>
          <w:sz w:val="24"/>
          <w:szCs w:val="24"/>
          <w:lang w:val="en-US"/>
        </w:rPr>
        <w:t>5</w:t>
      </w:r>
      <w:r>
        <w:rPr>
          <w:rFonts w:hint="eastAsia" w:ascii="楷体" w:hAnsi="楷体" w:eastAsia="楷体" w:cs="楷体"/>
          <w:bCs/>
          <w:sz w:val="24"/>
          <w:szCs w:val="24"/>
        </w:rPr>
        <w:t xml:space="preserve"> 信息发布</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_Toc15281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- 30 -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"_Toc21558" </w:instrText>
      </w:r>
      <w:r>
        <w:rPr>
          <w:rFonts w:hint="eastAsia" w:ascii="楷体" w:hAnsi="楷体" w:eastAsia="楷体" w:cs="楷体"/>
          <w:sz w:val="24"/>
          <w:szCs w:val="24"/>
        </w:rPr>
        <w:fldChar w:fldCharType="separate"/>
      </w:r>
      <w:r>
        <w:rPr>
          <w:rFonts w:hint="eastAsia" w:ascii="楷体" w:hAnsi="楷体" w:eastAsia="楷体" w:cs="楷体"/>
          <w:bCs/>
          <w:sz w:val="24"/>
          <w:szCs w:val="24"/>
        </w:rPr>
        <w:t>5.</w:t>
      </w:r>
      <w:r>
        <w:rPr>
          <w:rFonts w:hint="eastAsia" w:ascii="楷体" w:hAnsi="楷体" w:eastAsia="楷体" w:cs="楷体"/>
          <w:bCs/>
          <w:sz w:val="24"/>
          <w:szCs w:val="24"/>
          <w:lang w:val="en-US"/>
        </w:rPr>
        <w:t>6</w:t>
      </w:r>
      <w:r>
        <w:rPr>
          <w:rFonts w:hint="eastAsia" w:ascii="楷体" w:hAnsi="楷体" w:eastAsia="楷体" w:cs="楷体"/>
          <w:bCs/>
          <w:sz w:val="24"/>
          <w:szCs w:val="24"/>
        </w:rPr>
        <w:t xml:space="preserve"> 应急结束</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_Toc21558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- 31 -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"_Toc30700"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 xml:space="preserve">6 </w:t>
      </w:r>
      <w:r>
        <w:rPr>
          <w:rFonts w:hint="eastAsia" w:ascii="楷体" w:hAnsi="楷体" w:eastAsia="楷体" w:cs="楷体"/>
          <w:b w:val="0"/>
          <w:sz w:val="24"/>
          <w:szCs w:val="24"/>
        </w:rPr>
        <w:t>后期处置</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_Toc30700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- 31 -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"_Toc421"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lang w:val="en-US"/>
        </w:rPr>
        <w:t>6</w:t>
      </w:r>
      <w:r>
        <w:rPr>
          <w:rFonts w:hint="eastAsia" w:ascii="楷体" w:hAnsi="楷体" w:eastAsia="楷体" w:cs="楷体"/>
          <w:bCs/>
          <w:kern w:val="2"/>
          <w:sz w:val="24"/>
          <w:szCs w:val="24"/>
        </w:rPr>
        <w:t>.1 善后处置</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_Toc421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- 31 -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"_Toc4061"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lang w:val="en-US"/>
        </w:rPr>
        <w:t>6</w:t>
      </w:r>
      <w:r>
        <w:rPr>
          <w:rFonts w:hint="eastAsia" w:ascii="楷体" w:hAnsi="楷体" w:eastAsia="楷体" w:cs="楷体"/>
          <w:bCs/>
          <w:kern w:val="2"/>
          <w:sz w:val="24"/>
          <w:szCs w:val="24"/>
        </w:rPr>
        <w:t>.2 社会救助</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_Toc4061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- 32 -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"_Toc1341"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lang w:val="en-US"/>
        </w:rPr>
        <w:t>6</w:t>
      </w:r>
      <w:r>
        <w:rPr>
          <w:rFonts w:hint="eastAsia" w:ascii="楷体" w:hAnsi="楷体" w:eastAsia="楷体" w:cs="楷体"/>
          <w:bCs/>
          <w:kern w:val="2"/>
          <w:sz w:val="24"/>
          <w:szCs w:val="24"/>
        </w:rPr>
        <w:t>.3 保险</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_Toc1341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- 32 -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"_Toc7797"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lang w:val="en-US"/>
        </w:rPr>
        <w:t>6</w:t>
      </w:r>
      <w:r>
        <w:rPr>
          <w:rFonts w:hint="eastAsia" w:ascii="楷体" w:hAnsi="楷体" w:eastAsia="楷体" w:cs="楷体"/>
          <w:bCs/>
          <w:kern w:val="2"/>
          <w:sz w:val="24"/>
          <w:szCs w:val="24"/>
        </w:rPr>
        <w:t>.4 调查评估</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_Toc7797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- 33 -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"_Toc6769"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lang w:val="en-US"/>
        </w:rPr>
        <w:t>6</w:t>
      </w:r>
      <w:r>
        <w:rPr>
          <w:rFonts w:hint="eastAsia" w:ascii="楷体" w:hAnsi="楷体" w:eastAsia="楷体" w:cs="楷体"/>
          <w:bCs/>
          <w:kern w:val="2"/>
          <w:sz w:val="24"/>
          <w:szCs w:val="24"/>
        </w:rPr>
        <w:t>.5 恢复与重建</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_Toc6769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- 33 -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"_Toc29825" </w:instrText>
      </w:r>
      <w:r>
        <w:rPr>
          <w:rFonts w:hint="eastAsia" w:ascii="楷体" w:hAnsi="楷体" w:eastAsia="楷体" w:cs="楷体"/>
          <w:sz w:val="24"/>
          <w:szCs w:val="24"/>
        </w:rPr>
        <w:fldChar w:fldCharType="separate"/>
      </w:r>
      <w:r>
        <w:rPr>
          <w:rFonts w:hint="eastAsia" w:ascii="楷体" w:hAnsi="楷体" w:eastAsia="楷体" w:cs="楷体"/>
          <w:b w:val="0"/>
          <w:sz w:val="24"/>
          <w:szCs w:val="24"/>
        </w:rPr>
        <w:t>7 应急保障</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_Toc29825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- 33 -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"_Toc19834" </w:instrText>
      </w:r>
      <w:r>
        <w:rPr>
          <w:rFonts w:hint="eastAsia" w:ascii="楷体" w:hAnsi="楷体" w:eastAsia="楷体" w:cs="楷体"/>
          <w:sz w:val="24"/>
          <w:szCs w:val="24"/>
        </w:rPr>
        <w:fldChar w:fldCharType="separate"/>
      </w:r>
      <w:r>
        <w:rPr>
          <w:rFonts w:hint="eastAsia" w:ascii="楷体" w:hAnsi="楷体" w:eastAsia="楷体" w:cs="楷体"/>
          <w:bCs/>
          <w:sz w:val="24"/>
          <w:szCs w:val="24"/>
        </w:rPr>
        <w:t>7.1 人力资源保障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_Toc19834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- 34 -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"_Toc22916" </w:instrText>
      </w:r>
      <w:r>
        <w:rPr>
          <w:rFonts w:hint="eastAsia" w:ascii="楷体" w:hAnsi="楷体" w:eastAsia="楷体" w:cs="楷体"/>
          <w:sz w:val="24"/>
          <w:szCs w:val="24"/>
        </w:rPr>
        <w:fldChar w:fldCharType="separate"/>
      </w:r>
      <w:r>
        <w:rPr>
          <w:rFonts w:hint="eastAsia" w:ascii="楷体" w:hAnsi="楷体" w:eastAsia="楷体" w:cs="楷体"/>
          <w:bCs/>
          <w:sz w:val="24"/>
          <w:szCs w:val="24"/>
        </w:rPr>
        <w:t>7.2 经费保障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_Toc22916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- 34 -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"_Toc19249" </w:instrText>
      </w:r>
      <w:r>
        <w:rPr>
          <w:rFonts w:hint="eastAsia" w:ascii="楷体" w:hAnsi="楷体" w:eastAsia="楷体" w:cs="楷体"/>
          <w:sz w:val="24"/>
          <w:szCs w:val="24"/>
        </w:rPr>
        <w:fldChar w:fldCharType="separate"/>
      </w:r>
      <w:r>
        <w:rPr>
          <w:rFonts w:hint="eastAsia" w:ascii="楷体" w:hAnsi="楷体" w:eastAsia="楷体" w:cs="楷体"/>
          <w:bCs/>
          <w:sz w:val="24"/>
          <w:szCs w:val="24"/>
        </w:rPr>
        <w:t>7.3 物资保障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_Toc19249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- 34 -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"_Toc25785" </w:instrText>
      </w:r>
      <w:r>
        <w:rPr>
          <w:rFonts w:hint="eastAsia" w:ascii="楷体" w:hAnsi="楷体" w:eastAsia="楷体" w:cs="楷体"/>
          <w:sz w:val="24"/>
          <w:szCs w:val="24"/>
        </w:rPr>
        <w:fldChar w:fldCharType="separate"/>
      </w:r>
      <w:r>
        <w:rPr>
          <w:rFonts w:hint="eastAsia" w:ascii="楷体" w:hAnsi="楷体" w:eastAsia="楷体" w:cs="楷体"/>
          <w:bCs/>
          <w:sz w:val="24"/>
          <w:szCs w:val="24"/>
        </w:rPr>
        <w:t>7.4 医疗卫生保障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_Toc25785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- 35 -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"_Toc31911" </w:instrText>
      </w:r>
      <w:r>
        <w:rPr>
          <w:rFonts w:hint="eastAsia" w:ascii="楷体" w:hAnsi="楷体" w:eastAsia="楷体" w:cs="楷体"/>
          <w:sz w:val="24"/>
          <w:szCs w:val="24"/>
        </w:rPr>
        <w:fldChar w:fldCharType="separate"/>
      </w:r>
      <w:r>
        <w:rPr>
          <w:rFonts w:hint="eastAsia" w:ascii="楷体" w:hAnsi="楷体" w:eastAsia="楷体" w:cs="楷体"/>
          <w:bCs/>
          <w:sz w:val="24"/>
          <w:szCs w:val="24"/>
        </w:rPr>
        <w:t>7.5 交通运输保障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_Toc31911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- 35 -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"_Toc14014" </w:instrText>
      </w:r>
      <w:r>
        <w:rPr>
          <w:rFonts w:hint="eastAsia" w:ascii="楷体" w:hAnsi="楷体" w:eastAsia="楷体" w:cs="楷体"/>
          <w:sz w:val="24"/>
          <w:szCs w:val="24"/>
        </w:rPr>
        <w:fldChar w:fldCharType="separate"/>
      </w:r>
      <w:r>
        <w:rPr>
          <w:rFonts w:hint="eastAsia" w:ascii="楷体" w:hAnsi="楷体" w:eastAsia="楷体" w:cs="楷体"/>
          <w:bCs/>
          <w:sz w:val="24"/>
          <w:szCs w:val="24"/>
        </w:rPr>
        <w:t>7.6 治安保障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_Toc14014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- 36 -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"_Toc13446" </w:instrText>
      </w:r>
      <w:r>
        <w:rPr>
          <w:rFonts w:hint="eastAsia" w:ascii="楷体" w:hAnsi="楷体" w:eastAsia="楷体" w:cs="楷体"/>
          <w:sz w:val="24"/>
          <w:szCs w:val="24"/>
        </w:rPr>
        <w:fldChar w:fldCharType="separate"/>
      </w:r>
      <w:r>
        <w:rPr>
          <w:rFonts w:hint="eastAsia" w:ascii="楷体" w:hAnsi="楷体" w:eastAsia="楷体" w:cs="楷体"/>
          <w:bCs/>
          <w:sz w:val="24"/>
          <w:szCs w:val="24"/>
        </w:rPr>
        <w:t>7.7 人员防护保障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_Toc13446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- 36 -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"_Toc25076" </w:instrText>
      </w:r>
      <w:r>
        <w:rPr>
          <w:rFonts w:hint="eastAsia" w:ascii="楷体" w:hAnsi="楷体" w:eastAsia="楷体" w:cs="楷体"/>
          <w:sz w:val="24"/>
          <w:szCs w:val="24"/>
        </w:rPr>
        <w:fldChar w:fldCharType="separate"/>
      </w:r>
      <w:r>
        <w:rPr>
          <w:rFonts w:hint="eastAsia" w:ascii="楷体" w:hAnsi="楷体" w:eastAsia="楷体" w:cs="楷体"/>
          <w:bCs/>
          <w:sz w:val="24"/>
          <w:szCs w:val="24"/>
        </w:rPr>
        <w:t>7.8 通信和信息保障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_Toc25076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- 36 -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"_Toc9352" </w:instrText>
      </w:r>
      <w:r>
        <w:rPr>
          <w:rFonts w:hint="eastAsia" w:ascii="楷体" w:hAnsi="楷体" w:eastAsia="楷体" w:cs="楷体"/>
          <w:sz w:val="24"/>
          <w:szCs w:val="24"/>
        </w:rPr>
        <w:fldChar w:fldCharType="separate"/>
      </w:r>
      <w:r>
        <w:rPr>
          <w:rFonts w:hint="eastAsia" w:ascii="楷体" w:hAnsi="楷体" w:eastAsia="楷体" w:cs="楷体"/>
          <w:bCs/>
          <w:sz w:val="24"/>
          <w:szCs w:val="24"/>
        </w:rPr>
        <w:t>7.9 科技支撑保障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_Toc9352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- 36 -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"_Toc32419" </w:instrText>
      </w:r>
      <w:r>
        <w:rPr>
          <w:rFonts w:hint="eastAsia" w:ascii="楷体" w:hAnsi="楷体" w:eastAsia="楷体" w:cs="楷体"/>
          <w:sz w:val="24"/>
          <w:szCs w:val="24"/>
        </w:rPr>
        <w:fldChar w:fldCharType="separate"/>
      </w:r>
      <w:r>
        <w:rPr>
          <w:rFonts w:hint="eastAsia" w:ascii="楷体" w:hAnsi="楷体" w:eastAsia="楷体" w:cs="楷体"/>
          <w:bCs/>
          <w:sz w:val="24"/>
          <w:szCs w:val="24"/>
        </w:rPr>
        <w:t>7.10 气象服务保障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_Toc32419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- 37 -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"_Toc17279" </w:instrText>
      </w:r>
      <w:r>
        <w:rPr>
          <w:rFonts w:hint="eastAsia" w:ascii="楷体" w:hAnsi="楷体" w:eastAsia="楷体" w:cs="楷体"/>
          <w:sz w:val="24"/>
          <w:szCs w:val="24"/>
        </w:rPr>
        <w:fldChar w:fldCharType="separate"/>
      </w:r>
      <w:r>
        <w:rPr>
          <w:rFonts w:hint="eastAsia" w:ascii="楷体" w:hAnsi="楷体" w:eastAsia="楷体" w:cs="楷体"/>
          <w:bCs/>
          <w:sz w:val="24"/>
          <w:szCs w:val="24"/>
        </w:rPr>
        <w:t>7.11 法制保障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_Toc17279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- 37 -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"_Toc4438" </w:instrText>
      </w:r>
      <w:r>
        <w:rPr>
          <w:rFonts w:hint="eastAsia" w:ascii="楷体" w:hAnsi="楷体" w:eastAsia="楷体" w:cs="楷体"/>
          <w:sz w:val="24"/>
          <w:szCs w:val="24"/>
        </w:rPr>
        <w:fldChar w:fldCharType="separate"/>
      </w:r>
      <w:r>
        <w:rPr>
          <w:rFonts w:hint="eastAsia" w:ascii="楷体" w:hAnsi="楷体" w:eastAsia="楷体" w:cs="楷体"/>
          <w:bCs/>
          <w:sz w:val="24"/>
          <w:szCs w:val="24"/>
        </w:rPr>
        <w:t>7.12 其他应急保障</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_Toc4438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- 37 -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"_Toc20675"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8  监督管理</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_Toc20675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- 37 -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"_Toc23827"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8</w:t>
      </w:r>
      <w:r>
        <w:rPr>
          <w:rFonts w:hint="eastAsia" w:ascii="楷体" w:hAnsi="楷体" w:eastAsia="楷体" w:cs="楷体"/>
          <w:bCs/>
          <w:sz w:val="24"/>
          <w:szCs w:val="24"/>
        </w:rPr>
        <w:t>.1 应急演练</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_Toc23827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- 37 -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"_Toc18444"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8</w:t>
      </w:r>
      <w:r>
        <w:rPr>
          <w:rFonts w:hint="eastAsia" w:ascii="楷体" w:hAnsi="楷体" w:eastAsia="楷体" w:cs="楷体"/>
          <w:bCs/>
          <w:sz w:val="24"/>
          <w:szCs w:val="24"/>
        </w:rPr>
        <w:t>.2 教育</w:t>
      </w:r>
      <w:r>
        <w:rPr>
          <w:rFonts w:hint="eastAsia" w:ascii="楷体" w:hAnsi="楷体" w:eastAsia="楷体" w:cs="楷体"/>
          <w:bCs/>
          <w:sz w:val="24"/>
          <w:szCs w:val="24"/>
          <w:lang w:val="en-US"/>
        </w:rPr>
        <w:t>培训</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_Toc18444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- 38 -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"_Toc18522"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8</w:t>
      </w:r>
      <w:r>
        <w:rPr>
          <w:rFonts w:hint="eastAsia" w:ascii="楷体" w:hAnsi="楷体" w:eastAsia="楷体" w:cs="楷体"/>
          <w:bCs/>
          <w:sz w:val="24"/>
          <w:szCs w:val="24"/>
        </w:rPr>
        <w:t>.</w:t>
      </w:r>
      <w:r>
        <w:rPr>
          <w:rFonts w:hint="eastAsia" w:ascii="楷体" w:hAnsi="楷体" w:eastAsia="楷体" w:cs="楷体"/>
          <w:bCs/>
          <w:sz w:val="24"/>
          <w:szCs w:val="24"/>
          <w:lang w:val="en-US"/>
        </w:rPr>
        <w:t>3</w:t>
      </w:r>
      <w:r>
        <w:rPr>
          <w:rFonts w:hint="eastAsia" w:ascii="楷体" w:hAnsi="楷体" w:eastAsia="楷体" w:cs="楷体"/>
          <w:bCs/>
          <w:sz w:val="24"/>
          <w:szCs w:val="24"/>
        </w:rPr>
        <w:t xml:space="preserve"> 责任与奖惩</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_Toc18522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- 38 -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"_Toc28914"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8.4 预案管理</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_Toc28914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- 39 -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"_Toc29456"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8.5 预案备案</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_Toc29456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- 39 -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"_Toc20405"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8.6 发布实施</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_Toc20405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- 40 -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"_Toc19644"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9</w:t>
      </w:r>
      <w:r>
        <w:rPr>
          <w:rFonts w:hint="eastAsia" w:ascii="楷体" w:hAnsi="楷体" w:eastAsia="楷体" w:cs="楷体"/>
          <w:b w:val="0"/>
          <w:sz w:val="24"/>
          <w:szCs w:val="24"/>
          <w:lang w:val="en-US" w:eastAsia="zh-CN"/>
        </w:rPr>
        <w:t xml:space="preserve"> </w:t>
      </w:r>
      <w:r>
        <w:rPr>
          <w:rFonts w:hint="eastAsia" w:ascii="楷体" w:hAnsi="楷体" w:eastAsia="楷体" w:cs="楷体"/>
          <w:b w:val="0"/>
          <w:sz w:val="24"/>
          <w:szCs w:val="24"/>
          <w:lang w:val="en-US"/>
        </w:rPr>
        <w:t>附则</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_Toc19644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- 40 -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0"/>
        <w:tabs>
          <w:tab w:val="right" w:leader="dot" w:pos="9070"/>
        </w:tabs>
        <w:spacing w:line="240" w:lineRule="auto"/>
        <w:rPr>
          <w:rFonts w:hint="eastAsia" w:ascii="楷体" w:hAnsi="楷体" w:eastAsia="楷体" w:cs="楷体"/>
          <w:b w:val="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"_Toc10487" </w:instrText>
      </w:r>
      <w:r>
        <w:rPr>
          <w:rFonts w:hint="eastAsia" w:ascii="楷体" w:hAnsi="楷体" w:eastAsia="楷体" w:cs="楷体"/>
          <w:sz w:val="24"/>
          <w:szCs w:val="24"/>
        </w:rPr>
        <w:fldChar w:fldCharType="separate"/>
      </w:r>
      <w:r>
        <w:rPr>
          <w:rFonts w:hint="eastAsia" w:ascii="楷体" w:hAnsi="楷体" w:eastAsia="楷体" w:cs="楷体"/>
          <w:b w:val="0"/>
          <w:sz w:val="24"/>
          <w:szCs w:val="24"/>
          <w:lang w:val="en-US"/>
        </w:rPr>
        <w:t>10</w:t>
      </w:r>
      <w:r>
        <w:rPr>
          <w:rFonts w:hint="eastAsia" w:ascii="楷体" w:hAnsi="楷体" w:eastAsia="楷体" w:cs="楷体"/>
          <w:b w:val="0"/>
          <w:sz w:val="24"/>
          <w:szCs w:val="24"/>
          <w:lang w:val="en-US" w:eastAsia="zh-CN"/>
        </w:rPr>
        <w:t xml:space="preserve"> </w:t>
      </w:r>
      <w:r>
        <w:rPr>
          <w:rFonts w:hint="eastAsia" w:ascii="楷体" w:hAnsi="楷体" w:eastAsia="楷体" w:cs="楷体"/>
          <w:b w:val="0"/>
          <w:sz w:val="24"/>
          <w:szCs w:val="24"/>
          <w:lang w:val="en-US"/>
        </w:rPr>
        <w:t>附件</w:t>
      </w:r>
      <w:r>
        <w:rPr>
          <w:rFonts w:hint="eastAsia" w:ascii="楷体" w:hAnsi="楷体" w:eastAsia="楷体" w:cs="楷体"/>
          <w:b w:val="0"/>
          <w:sz w:val="24"/>
          <w:szCs w:val="24"/>
        </w:rPr>
        <w:tab/>
      </w:r>
      <w:r>
        <w:rPr>
          <w:rFonts w:hint="eastAsia" w:ascii="楷体" w:hAnsi="楷体" w:eastAsia="楷体" w:cs="楷体"/>
          <w:b w:val="0"/>
          <w:sz w:val="24"/>
          <w:szCs w:val="24"/>
        </w:rPr>
        <w:fldChar w:fldCharType="begin"/>
      </w:r>
      <w:r>
        <w:rPr>
          <w:rFonts w:hint="eastAsia" w:ascii="楷体" w:hAnsi="楷体" w:eastAsia="楷体" w:cs="楷体"/>
          <w:b w:val="0"/>
          <w:sz w:val="24"/>
          <w:szCs w:val="24"/>
        </w:rPr>
        <w:instrText xml:space="preserve"> PAGEREF _Toc10487 </w:instrText>
      </w:r>
      <w:r>
        <w:rPr>
          <w:rFonts w:hint="eastAsia" w:ascii="楷体" w:hAnsi="楷体" w:eastAsia="楷体" w:cs="楷体"/>
          <w:b w:val="0"/>
          <w:sz w:val="24"/>
          <w:szCs w:val="24"/>
        </w:rPr>
        <w:fldChar w:fldCharType="separate"/>
      </w:r>
      <w:r>
        <w:rPr>
          <w:rFonts w:hint="eastAsia" w:ascii="楷体" w:hAnsi="楷体" w:eastAsia="楷体" w:cs="楷体"/>
          <w:b w:val="0"/>
          <w:sz w:val="24"/>
          <w:szCs w:val="24"/>
        </w:rPr>
        <w:t>- 41 -</w:t>
      </w:r>
      <w:r>
        <w:rPr>
          <w:rFonts w:hint="eastAsia" w:ascii="楷体" w:hAnsi="楷体" w:eastAsia="楷体" w:cs="楷体"/>
          <w:b w:val="0"/>
          <w:sz w:val="24"/>
          <w:szCs w:val="24"/>
        </w:rPr>
        <w:fldChar w:fldCharType="end"/>
      </w:r>
      <w:r>
        <w:rPr>
          <w:rFonts w:hint="eastAsia" w:ascii="楷体" w:hAnsi="楷体" w:eastAsia="楷体" w:cs="楷体"/>
          <w:b w:val="0"/>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"_Toc13765" </w:instrText>
      </w:r>
      <w:r>
        <w:rPr>
          <w:rFonts w:hint="eastAsia" w:ascii="楷体" w:hAnsi="楷体" w:eastAsia="楷体" w:cs="楷体"/>
          <w:sz w:val="24"/>
          <w:szCs w:val="24"/>
        </w:rPr>
        <w:fldChar w:fldCharType="separate"/>
      </w:r>
      <w:r>
        <w:rPr>
          <w:rFonts w:hint="eastAsia" w:ascii="楷体" w:hAnsi="楷体" w:eastAsia="楷体" w:cs="楷体"/>
          <w:bCs/>
          <w:sz w:val="24"/>
          <w:szCs w:val="24"/>
        </w:rPr>
        <w:t>1</w:t>
      </w:r>
      <w:r>
        <w:rPr>
          <w:rFonts w:hint="eastAsia" w:ascii="楷体" w:hAnsi="楷体" w:eastAsia="楷体" w:cs="楷体"/>
          <w:bCs/>
          <w:sz w:val="24"/>
          <w:szCs w:val="24"/>
          <w:lang w:val="en-US"/>
        </w:rPr>
        <w:t xml:space="preserve">0.1 </w:t>
      </w:r>
      <w:r>
        <w:rPr>
          <w:rFonts w:hint="eastAsia" w:ascii="楷体" w:hAnsi="楷体" w:eastAsia="楷体" w:cs="楷体"/>
          <w:bCs/>
          <w:sz w:val="24"/>
          <w:szCs w:val="24"/>
        </w:rPr>
        <w:t>清城区危险化学品风险</w:t>
      </w:r>
      <w:r>
        <w:rPr>
          <w:rFonts w:hint="eastAsia" w:ascii="楷体" w:hAnsi="楷体" w:eastAsia="楷体" w:cs="楷体"/>
          <w:bCs/>
          <w:sz w:val="24"/>
          <w:szCs w:val="24"/>
          <w:lang w:val="en-US"/>
        </w:rPr>
        <w:t>辨识与评估</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_Toc13765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- 41 -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"_Toc6283"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10</w:t>
      </w:r>
      <w:r>
        <w:rPr>
          <w:rFonts w:hint="eastAsia" w:ascii="楷体" w:hAnsi="楷体" w:eastAsia="楷体" w:cs="楷体"/>
          <w:bCs/>
          <w:sz w:val="24"/>
          <w:szCs w:val="24"/>
        </w:rPr>
        <w:t>.2 应急资源调查</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_Toc6283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- 44 -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"_Toc19350"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 xml:space="preserve">10.3 </w:t>
      </w:r>
      <w:r>
        <w:rPr>
          <w:rFonts w:hint="eastAsia" w:ascii="楷体" w:hAnsi="楷体" w:eastAsia="楷体" w:cs="楷体"/>
          <w:bCs/>
          <w:sz w:val="24"/>
          <w:szCs w:val="24"/>
        </w:rPr>
        <w:t>清城区危险化学品生产安全事故应急响应分级标准</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_Toc19350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- 46 -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"_Toc31631"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 xml:space="preserve">10.4 </w:t>
      </w:r>
      <w:r>
        <w:rPr>
          <w:rFonts w:hint="eastAsia" w:ascii="楷体" w:hAnsi="楷体" w:eastAsia="楷体" w:cs="楷体"/>
          <w:bCs/>
          <w:sz w:val="24"/>
          <w:szCs w:val="24"/>
        </w:rPr>
        <w:t>清城区危险化学品生产安全事故应急响应流程图</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_Toc31631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- 48 -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"_Toc16071"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shd w:val="clear" w:color="auto" w:fill="FFFFFF"/>
          <w:lang w:val="en-US"/>
        </w:rPr>
        <w:t xml:space="preserve">10.5 </w:t>
      </w:r>
      <w:r>
        <w:rPr>
          <w:rFonts w:hint="eastAsia" w:ascii="楷体" w:hAnsi="楷体" w:eastAsia="楷体" w:cs="楷体"/>
          <w:bCs/>
          <w:kern w:val="2"/>
          <w:sz w:val="24"/>
          <w:szCs w:val="24"/>
          <w:shd w:val="clear" w:color="auto" w:fill="FFFFFF"/>
        </w:rPr>
        <w:t>应</w:t>
      </w:r>
      <w:r>
        <w:rPr>
          <w:rFonts w:hint="eastAsia" w:ascii="楷体" w:hAnsi="楷体" w:eastAsia="楷体" w:cs="楷体"/>
          <w:bCs/>
          <w:kern w:val="2"/>
          <w:sz w:val="24"/>
          <w:szCs w:val="24"/>
          <w:lang w:val="en-US"/>
        </w:rPr>
        <w:t>急救援工作联系电话</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_Toc16071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- 49 -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"_Toc12383"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shd w:val="clear" w:color="auto" w:fill="FFFFFF"/>
          <w:lang w:val="en-US"/>
        </w:rPr>
        <w:t xml:space="preserve">10.6 </w:t>
      </w:r>
      <w:r>
        <w:rPr>
          <w:rFonts w:hint="eastAsia" w:ascii="楷体" w:hAnsi="楷体" w:eastAsia="楷体" w:cs="楷体"/>
          <w:bCs/>
          <w:sz w:val="24"/>
          <w:szCs w:val="24"/>
          <w:lang w:val="en-US"/>
        </w:rPr>
        <w:t>清城区危险化学品事故应急救援专家信息及联系方式</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_Toc12383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- 49 -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"_Toc19401" </w:instrText>
      </w:r>
      <w:r>
        <w:rPr>
          <w:rFonts w:hint="eastAsia" w:ascii="楷体" w:hAnsi="楷体" w:eastAsia="楷体" w:cs="楷体"/>
          <w:sz w:val="24"/>
          <w:szCs w:val="24"/>
        </w:rPr>
        <w:fldChar w:fldCharType="separate"/>
      </w:r>
      <w:r>
        <w:rPr>
          <w:rFonts w:hint="eastAsia" w:ascii="楷体" w:hAnsi="楷体" w:eastAsia="楷体" w:cs="楷体"/>
          <w:bCs/>
          <w:kern w:val="2"/>
          <w:sz w:val="24"/>
          <w:szCs w:val="24"/>
          <w:shd w:val="clear" w:color="auto" w:fill="FFFFFF"/>
          <w:lang w:val="en-US"/>
        </w:rPr>
        <w:t>10.7 清城区危险化学品生产企业基本情况一览表</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_Toc19401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- 51 -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bCs/>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"_Toc811"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10</w:t>
      </w:r>
      <w:r>
        <w:rPr>
          <w:rFonts w:hint="eastAsia" w:ascii="楷体" w:hAnsi="楷体" w:eastAsia="楷体" w:cs="楷体"/>
          <w:bCs/>
          <w:sz w:val="24"/>
          <w:szCs w:val="24"/>
        </w:rPr>
        <w:t>.8</w:t>
      </w:r>
      <w:r>
        <w:rPr>
          <w:rFonts w:hint="eastAsia" w:ascii="楷体" w:hAnsi="楷体" w:eastAsia="楷体" w:cs="楷体"/>
          <w:bCs/>
          <w:sz w:val="24"/>
          <w:szCs w:val="24"/>
          <w:lang w:val="en-US"/>
        </w:rPr>
        <w:t xml:space="preserve"> </w:t>
      </w:r>
      <w:r>
        <w:rPr>
          <w:rFonts w:hint="eastAsia" w:ascii="楷体" w:hAnsi="楷体" w:eastAsia="楷体" w:cs="楷体"/>
          <w:bCs/>
          <w:sz w:val="24"/>
          <w:szCs w:val="24"/>
        </w:rPr>
        <w:t>清城区危险化学品生产企业应急救援器材配备情况</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_Toc811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- 55 -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\l "_Toc29084" </w:instrText>
      </w:r>
      <w:r>
        <w:rPr>
          <w:rFonts w:hint="eastAsia" w:ascii="楷体" w:hAnsi="楷体" w:eastAsia="楷体" w:cs="楷体"/>
          <w:sz w:val="24"/>
          <w:szCs w:val="24"/>
        </w:rPr>
        <w:fldChar w:fldCharType="separate"/>
      </w:r>
      <w:r>
        <w:rPr>
          <w:rFonts w:hint="eastAsia" w:ascii="楷体" w:hAnsi="楷体" w:eastAsia="楷体" w:cs="楷体"/>
          <w:bCs/>
          <w:sz w:val="24"/>
          <w:szCs w:val="24"/>
          <w:lang w:val="en-US"/>
        </w:rPr>
        <w:t>10</w:t>
      </w:r>
      <w:r>
        <w:rPr>
          <w:rFonts w:hint="eastAsia" w:ascii="楷体" w:hAnsi="楷体" w:eastAsia="楷体" w:cs="楷体"/>
          <w:bCs/>
          <w:sz w:val="24"/>
          <w:szCs w:val="24"/>
        </w:rPr>
        <w:t>.</w:t>
      </w:r>
      <w:r>
        <w:rPr>
          <w:rFonts w:hint="eastAsia" w:ascii="楷体" w:hAnsi="楷体" w:eastAsia="楷体" w:cs="楷体"/>
          <w:bCs/>
          <w:sz w:val="24"/>
          <w:szCs w:val="24"/>
          <w:lang w:val="en-US"/>
        </w:rPr>
        <w:t>9</w:t>
      </w:r>
      <w:r>
        <w:rPr>
          <w:rFonts w:hint="eastAsia" w:ascii="楷体" w:hAnsi="楷体" w:eastAsia="楷体" w:cs="楷体"/>
          <w:bCs/>
          <w:sz w:val="24"/>
          <w:szCs w:val="24"/>
        </w:rPr>
        <w:t>清城区危险化学品事故现场指挥部各工作组职责分工一览表</w:t>
      </w:r>
      <w:r>
        <w:rPr>
          <w:rFonts w:hint="eastAsia" w:ascii="楷体" w:hAnsi="楷体" w:eastAsia="楷体" w:cs="楷体"/>
          <w:bCs/>
          <w:sz w:val="24"/>
          <w:szCs w:val="24"/>
        </w:rPr>
        <w:tab/>
      </w:r>
      <w:r>
        <w:rPr>
          <w:rFonts w:hint="eastAsia" w:ascii="楷体" w:hAnsi="楷体" w:eastAsia="楷体" w:cs="楷体"/>
          <w:bCs/>
          <w:sz w:val="24"/>
          <w:szCs w:val="24"/>
        </w:rPr>
        <w:fldChar w:fldCharType="begin"/>
      </w:r>
      <w:r>
        <w:rPr>
          <w:rFonts w:hint="eastAsia" w:ascii="楷体" w:hAnsi="楷体" w:eastAsia="楷体" w:cs="楷体"/>
          <w:bCs/>
          <w:sz w:val="24"/>
          <w:szCs w:val="24"/>
        </w:rPr>
        <w:instrText xml:space="preserve"> PAGEREF _Toc29084 </w:instrText>
      </w:r>
      <w:r>
        <w:rPr>
          <w:rFonts w:hint="eastAsia" w:ascii="楷体" w:hAnsi="楷体" w:eastAsia="楷体" w:cs="楷体"/>
          <w:bCs/>
          <w:sz w:val="24"/>
          <w:szCs w:val="24"/>
        </w:rPr>
        <w:fldChar w:fldCharType="separate"/>
      </w:r>
      <w:r>
        <w:rPr>
          <w:rFonts w:hint="eastAsia" w:ascii="楷体" w:hAnsi="楷体" w:eastAsia="楷体" w:cs="楷体"/>
          <w:bCs/>
          <w:sz w:val="24"/>
          <w:szCs w:val="24"/>
        </w:rPr>
        <w:t>- 62 -</w:t>
      </w:r>
      <w:r>
        <w:rPr>
          <w:rFonts w:hint="eastAsia" w:ascii="楷体" w:hAnsi="楷体" w:eastAsia="楷体" w:cs="楷体"/>
          <w:bCs/>
          <w:sz w:val="24"/>
          <w:szCs w:val="24"/>
        </w:rPr>
        <w:fldChar w:fldCharType="end"/>
      </w:r>
      <w:r>
        <w:rPr>
          <w:rFonts w:hint="eastAsia" w:ascii="楷体" w:hAnsi="楷体" w:eastAsia="楷体" w:cs="楷体"/>
          <w:bCs/>
          <w:sz w:val="24"/>
          <w:szCs w:val="24"/>
        </w:rPr>
        <w:fldChar w:fldCharType="end"/>
      </w:r>
    </w:p>
    <w:p>
      <w:pPr>
        <w:pStyle w:val="11"/>
        <w:tabs>
          <w:tab w:val="right" w:leader="dot" w:pos="9070"/>
        </w:tabs>
        <w:spacing w:line="240" w:lineRule="auto"/>
        <w:rPr>
          <w:rFonts w:hint="eastAsia" w:ascii="楷体" w:hAnsi="楷体" w:eastAsia="楷体" w:cs="楷体"/>
          <w:sz w:val="24"/>
          <w:szCs w:val="24"/>
          <w:lang w:val="en-US"/>
        </w:rPr>
        <w:sectPr>
          <w:footerReference r:id="rId7" w:type="default"/>
          <w:pgSz w:w="11906" w:h="16838"/>
          <w:pgMar w:top="1418" w:right="1418" w:bottom="1418" w:left="1418" w:header="851" w:footer="992" w:gutter="0"/>
          <w:pgNumType w:fmt="decimal" w:start="1"/>
          <w:cols w:space="720" w:num="1"/>
          <w:docGrid w:linePitch="360" w:charSpace="0"/>
        </w:sectPr>
      </w:pPr>
      <w:r>
        <w:rPr>
          <w:rFonts w:hint="eastAsia" w:ascii="楷体" w:hAnsi="楷体" w:eastAsia="楷体" w:cs="楷体"/>
          <w:bCs/>
          <w:caps/>
          <w:sz w:val="24"/>
          <w:szCs w:val="24"/>
        </w:rPr>
        <w:fldChar w:fldCharType="end"/>
      </w:r>
    </w:p>
    <w:bookmarkEnd w:id="0"/>
    <w:bookmarkEnd w:id="1"/>
    <w:bookmarkEnd w:id="2"/>
    <w:p>
      <w:pPr>
        <w:pStyle w:val="3"/>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r>
        <w:rPr>
          <w:rStyle w:val="26"/>
          <w:rFonts w:hint="eastAsia" w:ascii="方正小标宋_GBK" w:hAnsi="方正小标宋_GBK" w:eastAsia="方正小标宋_GBK" w:cs="方正小标宋_GBK"/>
          <w:b w:val="0"/>
          <w:bCs/>
          <w:sz w:val="44"/>
          <w:szCs w:val="44"/>
          <w:lang w:val="en-US" w:eastAsia="zh-CN" w:bidi="ar"/>
        </w:rPr>
        <w:t>1 总则</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3" w:name="_Toc14962_WPSOffice_Level1"/>
      <w:bookmarkStart w:id="4" w:name="_Toc23153_WPSOffice_Level1"/>
      <w:bookmarkStart w:id="5" w:name="_Toc26132"/>
      <w:bookmarkStart w:id="6" w:name="_Toc4829"/>
      <w:bookmarkStart w:id="7" w:name="_Toc24337"/>
      <w:r>
        <w:rPr>
          <w:rFonts w:hint="eastAsia" w:ascii="黑体" w:hAnsi="黑体" w:eastAsia="黑体" w:cs="黑体"/>
          <w:b w:val="0"/>
          <w:bCs/>
          <w:kern w:val="2"/>
          <w:sz w:val="32"/>
          <w:szCs w:val="24"/>
          <w:lang w:val="en-US" w:eastAsia="zh-CN"/>
        </w:rPr>
        <w:t>1.1 编制目的</w:t>
      </w:r>
      <w:bookmarkEnd w:id="3"/>
      <w:bookmarkEnd w:id="4"/>
      <w:bookmarkEnd w:id="5"/>
      <w:bookmarkEnd w:id="6"/>
      <w:bookmarkEnd w:id="7"/>
      <w:r>
        <w:rPr>
          <w:rFonts w:hint="eastAsia" w:ascii="黑体" w:hAnsi="黑体" w:eastAsia="黑体" w:cs="黑体"/>
          <w:b w:val="0"/>
          <w:bCs/>
          <w:kern w:val="2"/>
          <w:sz w:val="32"/>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为规范</w:t>
      </w:r>
      <w:r>
        <w:rPr>
          <w:rFonts w:hint="eastAsia" w:ascii="仿宋_GB2312" w:hAnsi="仿宋_GB2312" w:eastAsia="仿宋_GB2312" w:cs="仿宋_GB2312"/>
          <w:sz w:val="32"/>
          <w:szCs w:val="32"/>
          <w:lang w:val="en-US"/>
        </w:rPr>
        <w:t>清城区</w:t>
      </w:r>
      <w:r>
        <w:rPr>
          <w:rFonts w:hint="eastAsia" w:ascii="仿宋_GB2312" w:hAnsi="仿宋_GB2312" w:eastAsia="仿宋_GB2312" w:cs="仿宋_GB2312"/>
          <w:sz w:val="32"/>
          <w:szCs w:val="32"/>
        </w:rPr>
        <w:t>危险化学品生产安全事故应急救援程序，高效组织、指导应急救援工作，提高应急处置能力，最大限度减少事故造成的人员伤亡和财产损失，预防次生、衍生事故的发生，保障人民群众生命财产安全，维护社会稳定，为建设幸福清城，提供安全保障。</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8" w:name="_Toc27809"/>
      <w:bookmarkStart w:id="9" w:name="_Toc7293"/>
      <w:bookmarkStart w:id="10" w:name="_Toc20646"/>
      <w:bookmarkStart w:id="11" w:name="_Toc16872"/>
      <w:r>
        <w:rPr>
          <w:rFonts w:hint="eastAsia" w:ascii="黑体" w:hAnsi="黑体" w:eastAsia="黑体" w:cs="黑体"/>
          <w:b w:val="0"/>
          <w:bCs/>
          <w:kern w:val="2"/>
          <w:sz w:val="32"/>
          <w:szCs w:val="24"/>
          <w:lang w:val="en-US" w:eastAsia="zh-CN"/>
        </w:rPr>
        <w:t>1.2 编制依据</w:t>
      </w:r>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12" w:name="_Toc29767"/>
      <w:bookmarkStart w:id="13" w:name="_Toc26512"/>
      <w:r>
        <w:rPr>
          <w:rFonts w:hint="eastAsia" w:ascii="仿宋_GB2312" w:hAnsi="仿宋_GB2312" w:eastAsia="仿宋_GB2312" w:cs="仿宋_GB2312"/>
          <w:sz w:val="32"/>
          <w:szCs w:val="32"/>
          <w:lang w:val="en-US"/>
        </w:rPr>
        <w:t>（1）《中华人民共和国突发事件应对法》（中华人民共和国主席令〔2007〕第六十九号）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（2）《中华人民共和国安全生产法》（中华人民共和国主席令[2021]第八十八号）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rPr>
        <w:t>《生产安全事故应急条例》（国务院令第708号）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rPr>
        <w:t>生产安全事故报告和调查处理条例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rPr>
        <w:t>（国务院令第493号）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（5）《危险化学品安全管理条例》（国务院令第645号）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（6）《国务院办公厅关于印发突发事件应急预案管理办法的通知》（国办发〔2013〕101号）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pacing w:val="-2"/>
          <w:sz w:val="32"/>
          <w:szCs w:val="32"/>
          <w:lang w:val="en-US"/>
        </w:rPr>
      </w:pPr>
      <w:r>
        <w:rPr>
          <w:rFonts w:hint="eastAsia" w:ascii="仿宋_GB2312" w:hAnsi="仿宋_GB2312" w:eastAsia="仿宋_GB2312" w:cs="仿宋_GB2312"/>
          <w:sz w:val="32"/>
          <w:szCs w:val="32"/>
          <w:lang w:val="en-US"/>
        </w:rPr>
        <w:t>（7）《生产安全事故应急预案管理办法》（原国家安全生产监督管</w:t>
      </w:r>
      <w:r>
        <w:rPr>
          <w:rFonts w:hint="eastAsia" w:ascii="仿宋_GB2312" w:hAnsi="仿宋_GB2312" w:eastAsia="仿宋_GB2312" w:cs="仿宋_GB2312"/>
          <w:spacing w:val="-2"/>
          <w:sz w:val="32"/>
          <w:szCs w:val="32"/>
          <w:lang w:val="en-US"/>
        </w:rPr>
        <w:t>理总局令第88号公布，根据2019年7月11日应急管理部令第2号修正）</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14" w:name="bookmark36"/>
      <w:bookmarkEnd w:id="14"/>
      <w:r>
        <w:rPr>
          <w:rFonts w:hint="eastAsia" w:ascii="仿宋_GB2312" w:hAnsi="仿宋_GB2312" w:eastAsia="仿宋_GB2312" w:cs="仿宋_GB2312"/>
          <w:sz w:val="32"/>
          <w:szCs w:val="32"/>
          <w:lang w:val="en-US"/>
        </w:rPr>
        <w:t>（8）《生产安全事故信息报告和处置办法》（原国家安全生产监督管理总局令第21号）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（9）《国家突发公共事件总体应急预案》（2006年版）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（10）《国家安全生产事故灾难应急预案》（2006年版）</w:t>
      </w:r>
    </w:p>
    <w:p>
      <w:pPr>
        <w:keepNext w:val="0"/>
        <w:keepLines w:val="0"/>
        <w:pageBreakBefore w:val="0"/>
        <w:widowControl w:val="0"/>
        <w:kinsoku/>
        <w:wordWrap/>
        <w:overflowPunct/>
        <w:topLinePunct w:val="0"/>
        <w:autoSpaceDE/>
        <w:autoSpaceDN/>
        <w:bidi w:val="0"/>
        <w:adjustRightInd/>
        <w:snapToGrid/>
        <w:spacing w:after="0" w:line="560" w:lineRule="exact"/>
        <w:ind w:firstLine="600" w:firstLineChars="200"/>
        <w:jc w:val="both"/>
        <w:textAlignment w:val="auto"/>
        <w:rPr>
          <w:rFonts w:hint="eastAsia" w:ascii="仿宋_GB2312" w:hAnsi="仿宋_GB2312" w:eastAsia="仿宋_GB2312" w:cs="仿宋_GB2312"/>
          <w:spacing w:val="-10"/>
          <w:sz w:val="32"/>
          <w:szCs w:val="32"/>
          <w:lang w:val="en-US"/>
        </w:rPr>
      </w:pPr>
      <w:r>
        <w:rPr>
          <w:rFonts w:hint="eastAsia" w:ascii="仿宋_GB2312" w:hAnsi="仿宋_GB2312" w:eastAsia="仿宋_GB2312" w:cs="仿宋_GB2312"/>
          <w:spacing w:val="-10"/>
          <w:sz w:val="32"/>
          <w:szCs w:val="32"/>
          <w:lang w:val="en-US"/>
        </w:rPr>
        <w:t>（11）《危险化学品事故灾难应急预案》（安监总应急〔2006〕229号）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（12）《广东省突发事件应对条例》（广东省第十一届人民代表大会常务委员会第十九次会议通过）</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（13）《广东省安全生产条例》（广东省第十二届人民代表大会常务委员会公告第94号）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15" w:name="bookmark39"/>
      <w:bookmarkEnd w:id="15"/>
      <w:r>
        <w:rPr>
          <w:rFonts w:hint="eastAsia" w:ascii="仿宋_GB2312" w:hAnsi="仿宋_GB2312" w:eastAsia="仿宋_GB2312" w:cs="仿宋_GB2312"/>
          <w:sz w:val="32"/>
          <w:szCs w:val="32"/>
          <w:lang w:val="en-US"/>
        </w:rPr>
        <w:t>（14）《广东省突发事件应对条例》（广东省第十一届人民代表大会常务委员会公告第39号）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16" w:name="bookmark40"/>
      <w:bookmarkEnd w:id="16"/>
      <w:r>
        <w:rPr>
          <w:rFonts w:hint="eastAsia" w:ascii="仿宋_GB2312" w:hAnsi="仿宋_GB2312" w:eastAsia="仿宋_GB2312" w:cs="仿宋_GB2312"/>
          <w:sz w:val="32"/>
          <w:szCs w:val="32"/>
          <w:lang w:val="en-US"/>
        </w:rPr>
        <w:t>（15）《广东省突发事件预警信息发布管理办法》（粤府办〔2012）77号）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17" w:name="bookmark41"/>
      <w:bookmarkEnd w:id="17"/>
      <w:bookmarkStart w:id="18" w:name="bookmark42"/>
      <w:bookmarkEnd w:id="18"/>
      <w:r>
        <w:rPr>
          <w:rFonts w:hint="eastAsia" w:ascii="仿宋_GB2312" w:hAnsi="仿宋_GB2312" w:eastAsia="仿宋_GB2312" w:cs="仿宋_GB2312"/>
          <w:sz w:val="32"/>
          <w:szCs w:val="32"/>
          <w:lang w:val="en-US"/>
        </w:rPr>
        <w:t>（16）《广东省安全生产监督管理局关于〈生产安全事故应急预案管理办法〉的实施细则》（粤安监应急〔2017）9号）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（17）《国务院有关部门和单位制定和修订突发公共事件应急预案框架指南》的函》（国办函〔2004〕33号）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（18）《广东省突发事件总体应急预案》（2011年修订版）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（19）《广东省人民政府办公厅关于印发广东省危险化学品生产安全事故应急预案的通知》（粤办函〔2013〕358号）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19" w:name="_Hlk500195154"/>
      <w:r>
        <w:rPr>
          <w:rFonts w:hint="eastAsia" w:ascii="仿宋_GB2312" w:hAnsi="仿宋_GB2312" w:eastAsia="仿宋_GB2312" w:cs="仿宋_GB2312"/>
          <w:sz w:val="32"/>
          <w:szCs w:val="32"/>
          <w:lang w:val="en-US"/>
        </w:rPr>
        <w:t>（20）《企业职工伤亡事故分类》（GB6441-86）</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20" w:name="bookmark46"/>
      <w:bookmarkEnd w:id="20"/>
      <w:r>
        <w:rPr>
          <w:rFonts w:hint="eastAsia" w:ascii="仿宋_GB2312" w:hAnsi="仿宋_GB2312" w:eastAsia="仿宋_GB2312" w:cs="仿宋_GB2312"/>
          <w:sz w:val="32"/>
          <w:szCs w:val="32"/>
          <w:lang w:val="en-US"/>
        </w:rPr>
        <w:t>（21）《危险化学品名录》（2015版）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（22）《清远市危险化学品生产安全事故应急预案》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其它相关法律、法规及要求。</w:t>
      </w:r>
    </w:p>
    <w:bookmarkEnd w:id="19"/>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1" w:name="_Toc30838"/>
      <w:bookmarkStart w:id="22" w:name="_Toc11011"/>
      <w:bookmarkStart w:id="23" w:name="_Toc3852"/>
      <w:r>
        <w:rPr>
          <w:rFonts w:hint="eastAsia" w:ascii="黑体" w:hAnsi="黑体" w:eastAsia="黑体" w:cs="黑体"/>
          <w:b w:val="0"/>
          <w:bCs/>
          <w:kern w:val="2"/>
          <w:sz w:val="32"/>
          <w:szCs w:val="24"/>
          <w:lang w:val="en-US" w:eastAsia="zh-CN"/>
        </w:rPr>
        <w:t>1.3 适用范围</w:t>
      </w:r>
      <w:bookmarkEnd w:id="21"/>
      <w:bookmarkEnd w:id="22"/>
      <w:r>
        <w:rPr>
          <w:rFonts w:hint="eastAsia" w:ascii="黑体" w:hAnsi="黑体" w:eastAsia="黑体" w:cs="黑体"/>
          <w:b w:val="0"/>
          <w:bCs/>
          <w:kern w:val="2"/>
          <w:sz w:val="32"/>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危险化学品生产安全事故是指在生产、储存、使用、经营、运输危险化学品和处置废弃危险化学品的过程中，由危险化学品直接或间接引发的人</w:t>
      </w:r>
      <w:r>
        <w:rPr>
          <w:rFonts w:hint="eastAsia" w:ascii="仿宋_GB2312" w:hAnsi="仿宋_GB2312" w:eastAsia="仿宋_GB2312" w:cs="仿宋_GB2312"/>
          <w:sz w:val="32"/>
          <w:szCs w:val="32"/>
          <w:lang w:val="en-US"/>
        </w:rPr>
        <w:t>员伤亡、财产损失或环境污染的事故。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本预案适用于清城区行政区域内生产、储存、使用、经营、运输、使用和处置废弃危险化学品过程中发生的一般危险化学品事故的应急救援预案。参与处置的较大、重大、特别重大危险化学品生产安全事故，或者超出本地区、本单位、本部门处置能力需要协调处置的一般危险化学品生产安全事故。</w:t>
      </w:r>
    </w:p>
    <w:p>
      <w:pPr>
        <w:pStyle w:val="6"/>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本预案与清远市危险化学品生产安全事故应急预案衔接。</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民用爆炸物品、烟花爆竹、放射性物品、核能物质以及用于国防</w:t>
      </w:r>
      <w:r>
        <w:rPr>
          <w:rFonts w:hint="eastAsia" w:ascii="仿宋_GB2312" w:hAnsi="仿宋_GB2312" w:eastAsia="仿宋_GB2312" w:cs="仿宋_GB2312"/>
          <w:sz w:val="32"/>
          <w:szCs w:val="32"/>
          <w:highlight w:val="none"/>
        </w:rPr>
        <w:t>科研</w:t>
      </w:r>
      <w:r>
        <w:rPr>
          <w:rFonts w:hint="eastAsia" w:ascii="仿宋_GB2312" w:hAnsi="仿宋_GB2312" w:eastAsia="仿宋_GB2312" w:cs="仿宋_GB2312"/>
          <w:sz w:val="32"/>
          <w:szCs w:val="32"/>
        </w:rPr>
        <w:t>生产的危险化学品事故不适用本预案。</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4" w:name="_Toc20567"/>
      <w:r>
        <w:rPr>
          <w:rFonts w:hint="eastAsia" w:ascii="黑体" w:hAnsi="黑体" w:eastAsia="黑体" w:cs="黑体"/>
          <w:b w:val="0"/>
          <w:bCs/>
          <w:kern w:val="2"/>
          <w:sz w:val="32"/>
          <w:szCs w:val="24"/>
          <w:lang w:val="en-US" w:eastAsia="zh-CN"/>
        </w:rPr>
        <w:t>1.4 应急预案体系</w:t>
      </w:r>
      <w:bookmarkEnd w:id="24"/>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本预案是应对清远市清城区危险化学品生产安全事故的综合性预案，与清远市危险化学品生产安全事故应急预案衔接。</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清远市清城区危险化学品生产安全事故应急预案体系由本预案、</w:t>
      </w:r>
      <w:r>
        <w:rPr>
          <w:rFonts w:hint="eastAsia" w:ascii="仿宋_GB2312" w:hAnsi="仿宋_GB2312" w:eastAsia="仿宋_GB2312" w:cs="仿宋_GB2312"/>
          <w:sz w:val="32"/>
          <w:szCs w:val="32"/>
          <w:lang w:val="en-US" w:eastAsia="zh-CN"/>
        </w:rPr>
        <w:t>各镇（街道）</w:t>
      </w:r>
      <w:r>
        <w:rPr>
          <w:rFonts w:hint="eastAsia" w:ascii="仿宋_GB2312" w:hAnsi="仿宋_GB2312" w:eastAsia="仿宋_GB2312" w:cs="仿宋_GB2312"/>
          <w:sz w:val="32"/>
          <w:szCs w:val="32"/>
          <w:lang w:val="en-US"/>
        </w:rPr>
        <w:t>危险化学品行业生产安全事故应急预案、政府各单位、部门按事故类别分布制定的危险化学品专项应急预案及各生产经营单位危险化学品生产安全事故应急预案等组成。</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5" w:name="_Toc22108"/>
      <w:r>
        <w:rPr>
          <w:rFonts w:hint="eastAsia" w:ascii="黑体" w:hAnsi="黑体" w:eastAsia="黑体" w:cs="黑体"/>
          <w:b w:val="0"/>
          <w:bCs/>
          <w:kern w:val="2"/>
          <w:sz w:val="32"/>
          <w:szCs w:val="24"/>
          <w:lang w:val="en-US" w:eastAsia="zh-CN"/>
        </w:rPr>
        <w:t>1.5 工作原则</w:t>
      </w:r>
      <w:bookmarkEnd w:id="12"/>
      <w:bookmarkEnd w:id="13"/>
      <w:bookmarkEnd w:id="23"/>
      <w:bookmarkEnd w:id="25"/>
    </w:p>
    <w:p>
      <w:pPr>
        <w:pageBreakBefore w:val="0"/>
        <w:kinsoku/>
        <w:wordWrap/>
        <w:overflowPunct/>
        <w:topLinePunct w:val="0"/>
        <w:autoSpaceDE/>
        <w:autoSpaceDN/>
        <w:bidi w:val="0"/>
        <w:adjustRightInd/>
        <w:snapToGrid/>
        <w:spacing w:after="0" w:line="560" w:lineRule="exact"/>
        <w:ind w:firstLine="598" w:firstLineChars="187"/>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（1）以人为本、</w:t>
      </w:r>
      <w:bookmarkStart w:id="26" w:name="_Toc331665457"/>
      <w:r>
        <w:rPr>
          <w:rFonts w:hint="eastAsia" w:ascii="仿宋_GB2312" w:hAnsi="仿宋_GB2312" w:eastAsia="仿宋_GB2312" w:cs="仿宋_GB2312"/>
          <w:sz w:val="32"/>
          <w:szCs w:val="32"/>
        </w:rPr>
        <w:t>科学施救。始终把保障人民群众的生命财产安全作为应急救援工作的出发点和落脚点，最大限度地减少事故灾难造成的人员伤亡、财产损失和社会影响。</w:t>
      </w:r>
    </w:p>
    <w:p>
      <w:pPr>
        <w:pageBreakBefore w:val="0"/>
        <w:kinsoku/>
        <w:wordWrap/>
        <w:overflowPunct/>
        <w:topLinePunct w:val="0"/>
        <w:autoSpaceDE/>
        <w:autoSpaceDN/>
        <w:bidi w:val="0"/>
        <w:adjustRightInd/>
        <w:snapToGrid/>
        <w:spacing w:after="0" w:line="560" w:lineRule="exact"/>
        <w:ind w:firstLine="598" w:firstLineChars="187"/>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（2）统一领导、</w:t>
      </w:r>
      <w:bookmarkEnd w:id="26"/>
      <w:bookmarkStart w:id="27" w:name="_Toc331665458"/>
      <w:r>
        <w:rPr>
          <w:rFonts w:hint="eastAsia" w:ascii="仿宋_GB2312" w:hAnsi="仿宋_GB2312" w:eastAsia="仿宋_GB2312" w:cs="仿宋_GB2312"/>
          <w:sz w:val="32"/>
          <w:szCs w:val="32"/>
        </w:rPr>
        <w:t>分级负责。在区委区政府统一领导下和区安全生产委员会(以下简称“区安委会”)的组织协调下，各</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和区政府有关部门按照各自职责和权限，负责有关危险化学品事故的应急管理和应急处置工作，建立健全安全生产应急预案和应急机制。危险化学品企业负责组织制定并实施本单位安全生产事故应急救援预案。</w:t>
      </w:r>
    </w:p>
    <w:p>
      <w:pPr>
        <w:pageBreakBefore w:val="0"/>
        <w:kinsoku/>
        <w:wordWrap/>
        <w:overflowPunct/>
        <w:topLinePunct w:val="0"/>
        <w:autoSpaceDE/>
        <w:autoSpaceDN/>
        <w:bidi w:val="0"/>
        <w:adjustRightInd/>
        <w:snapToGrid/>
        <w:spacing w:after="0" w:line="560" w:lineRule="exact"/>
        <w:ind w:firstLine="598" w:firstLineChars="187"/>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bookmarkEnd w:id="27"/>
      <w:bookmarkStart w:id="28" w:name="_Toc331665459"/>
      <w:r>
        <w:rPr>
          <w:rFonts w:hint="eastAsia" w:ascii="仿宋_GB2312" w:hAnsi="仿宋_GB2312" w:eastAsia="仿宋_GB2312" w:cs="仿宋_GB2312"/>
          <w:sz w:val="32"/>
          <w:szCs w:val="32"/>
        </w:rPr>
        <w:t>迅速反应，协同应对。生产安全事故发生后按照分级响应的原则，区、镇人民政府、街道办事处及时启动相应的应急预案，确保应急救援工作及时有效。各应急救援工作组在现场指挥部的统一指挥下，规范有序，协同做好应急救援工作。</w:t>
      </w:r>
    </w:p>
    <w:p>
      <w:pPr>
        <w:keepNext w:val="0"/>
        <w:keepLines w:val="0"/>
        <w:pageBreakBefore w:val="0"/>
        <w:kinsoku/>
        <w:wordWrap/>
        <w:overflowPunct/>
        <w:topLinePunct w:val="0"/>
        <w:autoSpaceDE/>
        <w:autoSpaceDN/>
        <w:bidi w:val="0"/>
        <w:adjustRightInd/>
        <w:snapToGrid/>
        <w:spacing w:after="0" w:line="560" w:lineRule="exact"/>
        <w:ind w:firstLine="598" w:firstLineChars="187"/>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bookmarkEnd w:id="28"/>
      <w:r>
        <w:rPr>
          <w:rFonts w:hint="eastAsia" w:ascii="仿宋_GB2312" w:hAnsi="仿宋_GB2312" w:eastAsia="仿宋_GB2312" w:cs="仿宋_GB2312"/>
          <w:sz w:val="32"/>
          <w:szCs w:val="32"/>
        </w:rPr>
        <w:t>预防为主，常备不懈。坚持事故预防与应急相结合，防患于未然，负有安全生产监督管理职责的部门应开展多种形式的安全执法检查，使安全隐患得到有效治理，预防各类危险化学品事故的发生。加强应急培训和演练，做到常备不懈，不断完善危险化学品事故应急救援体系建设，提高应急救援</w:t>
      </w:r>
      <w:r>
        <w:rPr>
          <w:rFonts w:hint="eastAsia" w:ascii="仿宋_GB2312" w:hAnsi="仿宋_GB2312" w:eastAsia="仿宋_GB2312" w:cs="仿宋_GB2312"/>
          <w:sz w:val="32"/>
          <w:szCs w:val="32"/>
          <w:highlight w:val="none"/>
        </w:rPr>
        <w:t>力量</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（5）及时总结，不断完善。危险化学品事故处置结束后，各相关部门要及时总结事故经验教训，充分借鉴学习同类型事故</w:t>
      </w:r>
      <w:r>
        <w:rPr>
          <w:rFonts w:hint="eastAsia" w:ascii="仿宋_GB2312" w:hAnsi="仿宋_GB2312" w:eastAsia="仿宋_GB2312" w:cs="仿宋_GB2312"/>
          <w:sz w:val="32"/>
          <w:szCs w:val="32"/>
          <w:highlight w:val="none"/>
        </w:rPr>
        <w:t>处置方法</w:t>
      </w:r>
      <w:r>
        <w:rPr>
          <w:rFonts w:hint="eastAsia" w:ascii="仿宋_GB2312" w:hAnsi="仿宋_GB2312" w:eastAsia="仿宋_GB2312" w:cs="仿宋_GB2312"/>
          <w:sz w:val="32"/>
          <w:szCs w:val="32"/>
        </w:rPr>
        <w:t>，积累经验，查找不足，完善准备，防止类似事故的再次发生。</w:t>
      </w:r>
    </w:p>
    <w:p>
      <w:pPr>
        <w:pStyle w:val="2"/>
        <w:rPr>
          <w:rFonts w:hint="eastAsia"/>
          <w:lang w:val="en-US"/>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29" w:name="_Toc23166"/>
      <w:r>
        <w:rPr>
          <w:rStyle w:val="26"/>
          <w:rFonts w:hint="eastAsia" w:ascii="方正小标宋_GBK" w:hAnsi="方正小标宋_GBK" w:eastAsia="方正小标宋_GBK" w:cs="方正小标宋_GBK"/>
          <w:b w:val="0"/>
          <w:bCs/>
          <w:sz w:val="44"/>
          <w:szCs w:val="44"/>
          <w:lang w:val="en-US" w:eastAsia="zh-CN" w:bidi="ar"/>
        </w:rPr>
        <w:t>2 危险性分析</w:t>
      </w:r>
      <w:bookmarkEnd w:id="29"/>
    </w:p>
    <w:p>
      <w:pPr>
        <w:pStyle w:val="4"/>
        <w:keepNext/>
        <w:keepLines/>
        <w:pageBreakBefore w:val="0"/>
        <w:widowControl w:val="0"/>
        <w:kinsoku/>
        <w:wordWrap/>
        <w:overflowPunct/>
        <w:topLinePunct w:val="0"/>
        <w:autoSpaceDE/>
        <w:autoSpaceDN/>
        <w:bidi w:val="0"/>
        <w:adjustRightInd/>
        <w:snapToGrid/>
        <w:spacing w:beforeLines="0" w:beforeAutospacing="0" w:after="0" w:afterLines="0" w:afterAutospacing="0" w:line="560" w:lineRule="exact"/>
        <w:jc w:val="both"/>
        <w:textAlignment w:val="auto"/>
        <w:rPr>
          <w:rFonts w:hint="eastAsia" w:ascii="黑体" w:hAnsi="黑体" w:eastAsia="黑体" w:cs="黑体"/>
          <w:b w:val="0"/>
          <w:bCs/>
          <w:kern w:val="2"/>
          <w:sz w:val="32"/>
          <w:szCs w:val="24"/>
          <w:lang w:val="en-US" w:eastAsia="zh-CN"/>
        </w:rPr>
      </w:pPr>
      <w:bookmarkStart w:id="30" w:name="_Toc26820"/>
      <w:bookmarkStart w:id="31" w:name="_Toc351050345"/>
      <w:bookmarkStart w:id="32" w:name="_Toc362873875"/>
      <w:bookmarkStart w:id="33" w:name="_Toc25337"/>
      <w:bookmarkStart w:id="34" w:name="_Toc16899"/>
      <w:bookmarkStart w:id="35" w:name="_Toc203"/>
      <w:bookmarkStart w:id="36" w:name="_Toc22366"/>
      <w:bookmarkStart w:id="37" w:name="_Toc11013"/>
      <w:bookmarkStart w:id="38" w:name="_Toc537"/>
      <w:bookmarkStart w:id="39" w:name="_Toc24623"/>
      <w:r>
        <w:rPr>
          <w:rFonts w:hint="eastAsia" w:ascii="黑体" w:hAnsi="黑体" w:eastAsia="黑体" w:cs="黑体"/>
          <w:b w:val="0"/>
          <w:bCs/>
          <w:kern w:val="2"/>
          <w:sz w:val="32"/>
          <w:szCs w:val="24"/>
          <w:lang w:val="en-US" w:eastAsia="zh-CN"/>
        </w:rPr>
        <w:t>2.1 行业概况</w:t>
      </w:r>
      <w:bookmarkEnd w:id="30"/>
      <w:bookmarkEnd w:id="31"/>
      <w:bookmarkEnd w:id="32"/>
      <w:bookmarkEnd w:id="33"/>
      <w:bookmarkEnd w:id="34"/>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bookmarkStart w:id="40" w:name="_Toc19417"/>
      <w:bookmarkStart w:id="41" w:name="_Toc19585"/>
      <w:bookmarkStart w:id="42" w:name="_Toc6338"/>
      <w:r>
        <w:rPr>
          <w:rFonts w:hint="eastAsia" w:ascii="仿宋_GB2312" w:hAnsi="仿宋_GB2312" w:eastAsia="仿宋_GB2312" w:cs="仿宋_GB2312"/>
          <w:sz w:val="32"/>
          <w:szCs w:val="32"/>
        </w:rPr>
        <w:t>截至202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年，清城区危险化学品生产企业</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家；不带储存设施的危化品经营企业（不含加油站）</w:t>
      </w:r>
      <w:r>
        <w:rPr>
          <w:rFonts w:hint="eastAsia" w:ascii="仿宋_GB2312" w:hAnsi="仿宋_GB2312" w:eastAsia="仿宋_GB2312" w:cs="仿宋_GB2312"/>
          <w:sz w:val="32"/>
          <w:szCs w:val="32"/>
          <w:lang w:val="en-US"/>
        </w:rPr>
        <w:t>6</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家，加油站6</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家；医药企业</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家，化工企业2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家；构成危险化学品重大危险源的企业（城镇燃气企业除外）</w:t>
      </w:r>
      <w:r>
        <w:rPr>
          <w:rFonts w:hint="eastAsia" w:ascii="仿宋_GB2312" w:hAnsi="仿宋_GB2312" w:eastAsia="仿宋_GB2312" w:cs="仿宋_GB2312"/>
          <w:sz w:val="32"/>
          <w:szCs w:val="32"/>
          <w:lang w:val="en-US"/>
        </w:rPr>
        <w:t>4</w:t>
      </w:r>
      <w:r>
        <w:rPr>
          <w:rFonts w:hint="eastAsia" w:ascii="仿宋_GB2312" w:hAnsi="仿宋_GB2312" w:eastAsia="仿宋_GB2312" w:cs="仿宋_GB2312"/>
          <w:sz w:val="32"/>
          <w:szCs w:val="32"/>
        </w:rPr>
        <w:t xml:space="preserve">家；涉及危险化学品使用的工贸企业约150家；危险化学品运输单位约15家。 </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危险化学品生产企业主要生产涂料、油墨、稀释剂等易燃液体，部分企业生产氢气、乙炔、氧气、氩气、氮气等压缩气体和液化气体，以及砷、砷化镓、三氯化砷、硒化锌、镉、镓、氧化镉等稀贵金属及化合物等。个别企业生产甲醛、盐酸等化工原料。危险化学品经营企业分两类，一类为危化品经营企业（不带有储存设施经营）；另一类为加油站。化工医药企业生产、储存过程中，生产工艺涉及有限空间作业，生产原料涉及硫酸、盐酸等易制毒危化品，硝酸钠等易制爆危化品，乙醇、丙烯等易燃危化品，甲苯、苯酚等急性毒性物质。由于我区没有化工园区，上述企业分布相对分散，其中危化品生产企业主要集中在龙塘镇、石角镇、横荷街道。</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（2）涉及使用危险化学品的工贸企业分布</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sz w:val="32"/>
          <w:szCs w:val="32"/>
        </w:rPr>
        <w:t>各街（镇），使用剧毒化学品的单位以电镀企业为主，主要工艺为金属表面处理工艺，生产、储存环节涉及氰化物等剧毒化学品；使用易制爆危化品的单位以有色行业企业、电子行业企业、电镀企业为主，其金属表面处理工艺在生产、储存环节涉及硝酸等易制爆危化品；而使用一般危险化学品的工贸企业（包括液氨制冷、自用中间产品为危化品、涂料、油墨、稀释剂、清洗剂等易燃物质、以天然气、液化石油气作为工业燃气等情况）则遍布家具行业、电子行业、机械行业、有色行业、印刷业等多个行业。</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（3）清城区现有构成危险化学品重大危险源的企业主要包括使用液氨的食品企业、储存危化品（液氧、乙炔等）达到临界量的危化品生产企业，位于横</w:t>
      </w:r>
      <w:r>
        <w:rPr>
          <w:rFonts w:hint="eastAsia" w:ascii="仿宋_GB2312" w:hAnsi="仿宋_GB2312" w:eastAsia="仿宋_GB2312" w:cs="仿宋_GB2312"/>
          <w:sz w:val="32"/>
          <w:szCs w:val="32"/>
          <w:lang w:eastAsia="zh-CN"/>
        </w:rPr>
        <w:t>荷</w:t>
      </w:r>
      <w:r>
        <w:rPr>
          <w:rFonts w:hint="eastAsia" w:ascii="仿宋_GB2312" w:hAnsi="仿宋_GB2312" w:eastAsia="仿宋_GB2312" w:cs="仿宋_GB2312"/>
          <w:sz w:val="32"/>
          <w:szCs w:val="32"/>
        </w:rPr>
        <w:t>街道、龙塘镇。</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运输的危险化学品种类主要包括：易燃气体（液化天然气、乙炔等），加压气体（压缩或液化的氧、氩、氮、二氧化碳等），毒性气体（液氨、液氯等），易燃液体（液化石油气、天然气、油墨、涂料、乙醇、天那水等），氧化性物质和有机过氧化物（双氧水、过硫酸钠、次氯酸钙等），金属腐蚀物（硫酸、硝酸、盐酸、氨水、氢氧化钠等），毒性物质（甲苯、氰化物等）。</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43" w:name="_Toc17553"/>
      <w:r>
        <w:rPr>
          <w:rFonts w:hint="eastAsia" w:ascii="黑体" w:hAnsi="黑体" w:eastAsia="黑体" w:cs="黑体"/>
          <w:b w:val="0"/>
          <w:bCs/>
          <w:kern w:val="2"/>
          <w:sz w:val="32"/>
          <w:szCs w:val="24"/>
          <w:lang w:val="en-US" w:eastAsia="zh-CN"/>
        </w:rPr>
        <w:t>2.2 风险分析</w:t>
      </w:r>
      <w:bookmarkEnd w:id="40"/>
      <w:bookmarkEnd w:id="41"/>
      <w:bookmarkEnd w:id="42"/>
      <w:bookmarkEnd w:id="43"/>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根据清城区涉及的危险化学品类别和企业特点，危险化学品单位主要的事故类别包括火灾、爆炸、容器爆炸、中毒和窒息、灼烫、冻伤等。清远市清城区危险化学品企业可能导致的事故类型风险分析见附件</w:t>
      </w:r>
      <w:r>
        <w:rPr>
          <w:rFonts w:hint="eastAsia" w:ascii="仿宋_GB2312" w:hAnsi="仿宋_GB2312" w:eastAsia="仿宋_GB2312" w:cs="仿宋_GB2312"/>
          <w:sz w:val="32"/>
          <w:szCs w:val="32"/>
          <w:lang w:val="en-US"/>
        </w:rPr>
        <w:t>10.1</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危险化学品生产企业产品主要以涂料、油墨、合成树脂为主，部分企业生产乙炔、氧气、氮气等压缩气体和液化气体。生产、储存环节涉及易燃易爆、有毒、腐蚀性等危险化学品，主要危险区域、设备包括空分装置、充装设备、搅拌机、反应釜、调漆间、仓库、储罐等，主要需重点防范火灾、爆炸、中毒和群死群伤等事故。加油站主要危险区域、设备为加油机、加气机、储罐，需重点防范其火灾、爆炸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化工医药企业产品主要以复合肥料、化工原料、化学助剂、医药产品为主，主要危险区域、设备包括反应釜、仓库、储罐等，生产、储存环节涉及易燃易爆、有毒、腐蚀性等危险化学品，需重点防范火灾、爆炸、中毒窒息和群死群伤等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（3）使用液氯、液氨、氰化物等急性毒性物质的企业，主要危险区域、设备包括储罐、仓库、生产车间等，重点防范其泄漏造成急性中毒、群死群伤事故。（涉及其他行业的应急处置执行所处行业预案）</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（4）危险化学品道路运输可能发生交通事故，应重点防范其次生灾害的影响，包括油品等易燃液体泄漏引发的火灾、爆炸、中毒事故；压缩和液化气体钢瓶运输车辆钢瓶碰撞泄漏事故；</w:t>
      </w:r>
      <w:r>
        <w:rPr>
          <w:rFonts w:hint="eastAsia" w:ascii="仿宋_GB2312" w:hAnsi="仿宋_GB2312" w:eastAsia="仿宋_GB2312" w:cs="仿宋_GB2312"/>
          <w:sz w:val="32"/>
          <w:szCs w:val="32"/>
          <w:lang w:val="en-US"/>
        </w:rPr>
        <w:t>各类运输车辆较多，发生交通事故的风险较大，需重点防范因交通事故导致的危险化学品泄漏、包装品破损等引发的火灾、爆炸、中毒等事故</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（5）危险化学品水路运输应重点防范其码头装卸、化学品泄漏污染水源等事故。危险化学品铁路运输重点防范因泄漏导致的火灾、爆炸及扩散导致周边居民急性中毒事故。</w:t>
      </w:r>
    </w:p>
    <w:p>
      <w:pPr>
        <w:pStyle w:val="5"/>
        <w:keepNext w:val="0"/>
        <w:keepLines w:val="0"/>
        <w:pageBreakBefore w:val="0"/>
        <w:widowControl/>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2.2.1 危险化学品生产安全事故分类</w:t>
      </w:r>
      <w:bookmarkEnd w:id="35"/>
      <w:bookmarkEnd w:id="36"/>
      <w:bookmarkEnd w:id="37"/>
      <w:bookmarkEnd w:id="38"/>
      <w:bookmarkEnd w:id="39"/>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根据清城区危险化学品生产、储存单位概况，常见危险化学品生产安全事故类别如下：</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（1）危险化学品火灾事故：指燃烧物质主要为危险化学品的火灾事故。具体包括：易燃液体、易燃固体、自燃物品、遇湿易燃物品以及其他危险化学品火灾。</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危险化学品爆炸事故：指危险化学品发生化学反应的爆炸事故，危险化学品液化气体和压缩气体的物理爆炸事故。具体包括：易燃固体、自燃物品、遇湿易燃物品、易燃液体、易燃气体的火灾爆炸，危险化学品产生的粉尘、气体、挥发物的爆炸，危险化学品液化气体和压缩气体的物理爆炸，其他化学反应爆炸。</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危险化学品中毒和窒息事故：主要指人体吸入、食入或接触有毒有害化学品或者化学品反应的产物，而导致的中毒和窒息事故。具体包括：吸入中毒事故（中毒途径为呼吸道）、接触中毒事故（中毒途径为皮肤、眼睛等）、误食中毒事故（中毒途径为消化道）以及其他中毒和窒息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（4）危险化学品灼伤事故：主要指氢氟酸等腐蚀性危险化学品意外的与人体接触，在短时间内即在人体表面接触造成明显破坏的事故。腐蚀品包括酸性腐蚀品、碱性腐蚀品和其他不显酸碱性的腐蚀品。</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（5）危险化学品泄漏事故：主要指气体或液体危险化学品发生了一定规模的泄漏事故。危险化学品泄漏事故容易造成火灾、爆炸或中毒事故，以及环境污染事故。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6）其他危险化学品生产安全事故：其他危险化学品生产安全事故指不能归入上述5类的危险化学品生产安全事故，主要是指危险化学品的险肇事故，即危险化学品发生了人们不希望的意外事件，如盛装危险化学品的罐体、车辆倾倒或倾覆，但未发生火灾、爆炸、中毒和窒息、灼伤、泄漏等事故。</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宋体" w:hAnsi="宋体"/>
          <w:b/>
          <w:bCs/>
          <w:sz w:val="32"/>
          <w:szCs w:val="32"/>
          <w:lang w:val="en-US"/>
        </w:rPr>
      </w:pPr>
      <w:r>
        <w:rPr>
          <w:rFonts w:hint="eastAsia" w:ascii="仿宋_GB2312" w:hAnsi="仿宋_GB2312" w:eastAsia="仿宋_GB2312" w:cs="仿宋_GB2312"/>
          <w:b/>
          <w:bCs/>
          <w:sz w:val="32"/>
          <w:szCs w:val="32"/>
          <w:lang w:val="en-US"/>
        </w:rPr>
        <w:t>常见危险化学品事故特点：</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（1）突发性强，不易控制。突发危险化学品灾害事故的发生原因多且复杂，如操作不当、设备故障、车祸等。事先没有明显预兆，往往使人猝不及防，极易酿成灾祸。</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救援难度大，专业性强。由于救援现场情况复杂，存在火灾、爆炸、有毒、有害等危险，同时受到风向、能见度、空间狭窄等不利因素影响，使得现场勘查、救人、灭火、堵漏、洗消等难度加大，风险增加。</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污染环境，破坏严重。危险化学品不仅可对现场人员造成灼伤、感染、中毒等伤害，而且还会污染大气、土壤、水体、建筑物、设备，很多事故发生后，对现场的彻底洗消困难，导致残留物在较长时间内危害污染区生态环境。</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（4）客观存在，难以预防。危险化学品的危险特性是无法改变、客观存在的，只要安全防护措施出现纰漏，任何安全隐患都有可能导致事故发生。</w:t>
      </w:r>
    </w:p>
    <w:p>
      <w:pPr>
        <w:pStyle w:val="5"/>
        <w:keepNext w:val="0"/>
        <w:keepLines w:val="0"/>
        <w:pageBreakBefore w:val="0"/>
        <w:widowControl/>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lang w:val="en-US"/>
        </w:rPr>
      </w:pPr>
      <w:bookmarkStart w:id="44" w:name="_Toc1144"/>
      <w:bookmarkStart w:id="45" w:name="_Toc25424"/>
      <w:bookmarkStart w:id="46" w:name="_Toc15449"/>
      <w:bookmarkStart w:id="47" w:name="_Toc10674"/>
      <w:r>
        <w:rPr>
          <w:rFonts w:hint="eastAsia" w:ascii="楷体_GB2312" w:hAnsi="楷体_GB2312" w:eastAsia="楷体_GB2312" w:cs="楷体_GB2312"/>
          <w:b w:val="0"/>
          <w:bCs w:val="0"/>
          <w:sz w:val="32"/>
          <w:szCs w:val="32"/>
          <w:lang w:val="en-US"/>
        </w:rPr>
        <w:t>2.2.2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val="en-US"/>
        </w:rPr>
        <w:t>危险化学品生产安全事故分级</w:t>
      </w:r>
      <w:bookmarkEnd w:id="44"/>
      <w:bookmarkEnd w:id="45"/>
      <w:bookmarkEnd w:id="46"/>
      <w:bookmarkEnd w:id="47"/>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48" w:name="_Toc8214"/>
      <w:bookmarkStart w:id="49" w:name="_Toc11040"/>
      <w:r>
        <w:rPr>
          <w:rFonts w:hint="eastAsia" w:ascii="仿宋_GB2312" w:hAnsi="仿宋_GB2312" w:eastAsia="仿宋_GB2312" w:cs="仿宋_GB2312"/>
          <w:sz w:val="32"/>
          <w:szCs w:val="32"/>
          <w:lang w:val="en-US"/>
        </w:rPr>
        <w:t>根据事故的性质、危害程度、涉及范围，将危险化学品生产安全事故划分为四级：特别重大（Ⅰ级)、重大（Ⅱ级)、较大（Ⅲ级)和一般（Ⅳ级)。</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（1）特别重大危险化学品生产安全事故（Ⅰ级）</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造成30人以上死亡(含失踪)，或者100人以上中毒(重伤)，或1亿元以上直接经济损失，或需要紧急转移安置10万人以上的危险化学品生产安全事故。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（2）重大危险化学品生产安全事故（Ⅱ级）</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造成10人以上、30人以下死亡(含失踪)，或者50人以上、100人以下中毒(重伤)，或者5000万元以上、1亿元以下直接经济损失的危险化学品生产安全事故。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（3）较大危险化学品生产安全事故（Ⅲ级）</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造成3人以上、10人以下死亡(含失踪)，或者10人以上、50人以下中毒(重伤)，或者1000万元以上、5000万元以下直接经济损失的危险化学品生产安全事故。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（4）一般危险化学品生产安全事故（Ⅳ级）</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造成3人以下死亡，或者10人以下中毒(重伤)，或者1000万元以下直接经济损失的危险化学品生产安全事故。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本预案所称“以上”含本数，“以下”不含本数。</w:t>
      </w:r>
      <w:bookmarkEnd w:id="48"/>
      <w:bookmarkEnd w:id="49"/>
    </w:p>
    <w:p>
      <w:pPr>
        <w:pStyle w:val="2"/>
        <w:rPr>
          <w:rFonts w:hint="eastAsia"/>
          <w:lang w:val="en-US"/>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50" w:name="_Toc16802"/>
      <w:r>
        <w:rPr>
          <w:rStyle w:val="26"/>
          <w:rFonts w:hint="eastAsia" w:ascii="方正小标宋_GBK" w:hAnsi="方正小标宋_GBK" w:eastAsia="方正小标宋_GBK" w:cs="方正小标宋_GBK"/>
          <w:b w:val="0"/>
          <w:bCs/>
          <w:sz w:val="44"/>
          <w:szCs w:val="44"/>
          <w:lang w:val="en-US" w:eastAsia="zh-CN" w:bidi="ar"/>
        </w:rPr>
        <w:t>3 应急救援机构及职责分工</w:t>
      </w:r>
      <w:bookmarkEnd w:id="50"/>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清城区人民政府是</w:t>
      </w:r>
      <w:r>
        <w:rPr>
          <w:rFonts w:hint="eastAsia" w:ascii="仿宋_GB2312" w:hAnsi="仿宋_GB2312" w:eastAsia="仿宋_GB2312" w:cs="仿宋_GB2312"/>
          <w:sz w:val="32"/>
          <w:szCs w:val="32"/>
          <w:lang w:val="en-US"/>
        </w:rPr>
        <w:t>清城区</w:t>
      </w:r>
      <w:r>
        <w:rPr>
          <w:rFonts w:hint="eastAsia" w:ascii="仿宋_GB2312" w:hAnsi="仿宋_GB2312" w:eastAsia="仿宋_GB2312" w:cs="仿宋_GB2312"/>
          <w:sz w:val="32"/>
          <w:szCs w:val="32"/>
        </w:rPr>
        <w:t>危险化学品</w:t>
      </w:r>
      <w:r>
        <w:rPr>
          <w:rFonts w:hint="eastAsia" w:ascii="仿宋_GB2312" w:hAnsi="仿宋_GB2312" w:eastAsia="仿宋_GB2312" w:cs="仿宋_GB2312"/>
          <w:sz w:val="32"/>
          <w:szCs w:val="32"/>
          <w:lang w:val="en-US"/>
        </w:rPr>
        <w:t>生产安全</w:t>
      </w:r>
      <w:r>
        <w:rPr>
          <w:rFonts w:hint="eastAsia" w:ascii="仿宋_GB2312" w:hAnsi="仿宋_GB2312" w:eastAsia="仿宋_GB2312" w:cs="仿宋_GB2312"/>
          <w:sz w:val="32"/>
          <w:szCs w:val="32"/>
        </w:rPr>
        <w:t>事故应急救援领导机构，负责统一组织领导、指挥协调全区一般以上危险化学品事故的救援处置。</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51" w:name="_Toc27670"/>
      <w:r>
        <w:rPr>
          <w:rFonts w:hint="eastAsia" w:ascii="黑体" w:hAnsi="黑体" w:eastAsia="黑体" w:cs="黑体"/>
          <w:b w:val="0"/>
          <w:bCs/>
          <w:kern w:val="2"/>
          <w:sz w:val="32"/>
          <w:szCs w:val="24"/>
          <w:lang w:val="en-US" w:eastAsia="zh-CN"/>
        </w:rPr>
        <w:t>3.1 应急指挥部及职责</w:t>
      </w:r>
      <w:bookmarkEnd w:id="51"/>
      <w:r>
        <w:rPr>
          <w:rFonts w:hint="eastAsia" w:ascii="黑体" w:hAnsi="黑体" w:eastAsia="黑体" w:cs="黑体"/>
          <w:b w:val="0"/>
          <w:bCs/>
          <w:kern w:val="2"/>
          <w:sz w:val="32"/>
          <w:szCs w:val="24"/>
          <w:lang w:val="en-US" w:eastAsia="zh-CN"/>
        </w:rPr>
        <w:t xml:space="preserve"> </w:t>
      </w:r>
    </w:p>
    <w:p>
      <w:pPr>
        <w:pStyle w:val="5"/>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3.1.1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val="en-US"/>
        </w:rPr>
        <w:t xml:space="preserve">应急指挥部组成 </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指挥部是发生危险化学品生产安全事故后成立的临时机构，由分管安全生产工作的副区长或区委、区政府指定的其他区领导担任总指挥、区政府副秘书长、区应急管理局局长、涉及行业领域的主管行政部门的主要领导和事故发生地镇人民政府的主要领导任副总指挥，相关单位的工作人员为指挥部成员。</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总指挥：</w:t>
      </w:r>
      <w:r>
        <w:rPr>
          <w:rFonts w:hint="eastAsia" w:ascii="仿宋_GB2312" w:hAnsi="仿宋_GB2312" w:eastAsia="仿宋_GB2312" w:cs="仿宋_GB2312"/>
          <w:sz w:val="32"/>
          <w:szCs w:val="32"/>
        </w:rPr>
        <w:t>分管安全生产工作的副区长或区委、区政府指定的其他区领导</w:t>
      </w:r>
      <w:r>
        <w:rPr>
          <w:rFonts w:hint="eastAsia" w:ascii="仿宋_GB2312" w:hAnsi="仿宋_GB2312" w:eastAsia="仿宋_GB2312" w:cs="仿宋_GB2312"/>
          <w:sz w:val="32"/>
          <w:szCs w:val="32"/>
          <w:highlight w:val="none"/>
        </w:rPr>
        <w:t>。</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副总指挥：</w:t>
      </w:r>
      <w:r>
        <w:rPr>
          <w:rFonts w:hint="eastAsia" w:ascii="仿宋_GB2312" w:hAnsi="仿宋_GB2312" w:eastAsia="仿宋_GB2312" w:cs="仿宋_GB2312"/>
          <w:sz w:val="32"/>
          <w:szCs w:val="32"/>
        </w:rPr>
        <w:t>区政府副秘书长、区应急管理局局长、涉及行业领域的主管行政部门的主要领导和事故发生地镇人民政府的主要领导。</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应急指挥部成员：区委宣传部、区发</w:t>
      </w:r>
      <w:r>
        <w:rPr>
          <w:rFonts w:hint="eastAsia" w:ascii="仿宋_GB2312" w:hAnsi="仿宋_GB2312" w:eastAsia="仿宋_GB2312" w:cs="仿宋_GB2312"/>
          <w:sz w:val="32"/>
          <w:szCs w:val="32"/>
          <w:lang w:val="en-US" w:eastAsia="zh-CN"/>
        </w:rPr>
        <w:t>展改革</w:t>
      </w:r>
      <w:r>
        <w:rPr>
          <w:rFonts w:hint="eastAsia" w:ascii="仿宋_GB2312" w:hAnsi="仿宋_GB2312" w:eastAsia="仿宋_GB2312" w:cs="仿宋_GB2312"/>
          <w:sz w:val="32"/>
          <w:szCs w:val="32"/>
          <w:lang w:val="en-US"/>
        </w:rPr>
        <w:t>局、区教育局、区工</w:t>
      </w:r>
      <w:r>
        <w:rPr>
          <w:rFonts w:hint="eastAsia" w:ascii="仿宋_GB2312" w:hAnsi="仿宋_GB2312" w:eastAsia="仿宋_GB2312" w:cs="仿宋_GB2312"/>
          <w:sz w:val="32"/>
          <w:szCs w:val="32"/>
          <w:lang w:val="en-US" w:eastAsia="zh-CN"/>
        </w:rPr>
        <w:t>业和信息化</w:t>
      </w:r>
      <w:r>
        <w:rPr>
          <w:rFonts w:hint="eastAsia" w:ascii="仿宋_GB2312" w:hAnsi="仿宋_GB2312" w:eastAsia="仿宋_GB2312" w:cs="仿宋_GB2312"/>
          <w:sz w:val="32"/>
          <w:szCs w:val="32"/>
          <w:lang w:val="en-US"/>
        </w:rPr>
        <w:t>局、市公安局清城分局、区民政局、区司法局、区财政局、区人</w:t>
      </w:r>
      <w:r>
        <w:rPr>
          <w:rFonts w:hint="eastAsia" w:ascii="仿宋_GB2312" w:hAnsi="仿宋_GB2312" w:eastAsia="仿宋_GB2312" w:cs="仿宋_GB2312"/>
          <w:sz w:val="32"/>
          <w:szCs w:val="32"/>
          <w:lang w:val="en-US" w:eastAsia="zh-CN"/>
        </w:rPr>
        <w:t>力资源社会保障</w:t>
      </w:r>
      <w:r>
        <w:rPr>
          <w:rFonts w:hint="eastAsia" w:ascii="仿宋_GB2312" w:hAnsi="仿宋_GB2312" w:eastAsia="仿宋_GB2312" w:cs="仿宋_GB2312"/>
          <w:sz w:val="32"/>
          <w:szCs w:val="32"/>
          <w:lang w:val="en-US"/>
        </w:rPr>
        <w:t>局、市自然资源局清城分局、市生态环境局清城分局、区住</w:t>
      </w:r>
      <w:r>
        <w:rPr>
          <w:rFonts w:hint="eastAsia" w:ascii="仿宋_GB2312" w:hAnsi="仿宋_GB2312" w:eastAsia="仿宋_GB2312" w:cs="仿宋_GB2312"/>
          <w:sz w:val="32"/>
          <w:szCs w:val="32"/>
          <w:lang w:val="en-US" w:eastAsia="zh-CN"/>
        </w:rPr>
        <w:t>房城乡建设</w:t>
      </w:r>
      <w:r>
        <w:rPr>
          <w:rFonts w:hint="eastAsia" w:ascii="仿宋_GB2312" w:hAnsi="仿宋_GB2312" w:eastAsia="仿宋_GB2312" w:cs="仿宋_GB2312"/>
          <w:sz w:val="32"/>
          <w:szCs w:val="32"/>
          <w:lang w:val="en-US"/>
        </w:rPr>
        <w:t>局、区交通运输局、区水利局、区农业农村局、区文化广电旅游体育局、区卫</w:t>
      </w:r>
      <w:r>
        <w:rPr>
          <w:rFonts w:hint="eastAsia" w:ascii="仿宋_GB2312" w:hAnsi="仿宋_GB2312" w:eastAsia="仿宋_GB2312" w:cs="仿宋_GB2312"/>
          <w:sz w:val="32"/>
          <w:szCs w:val="32"/>
          <w:lang w:val="en-US" w:eastAsia="zh-CN"/>
        </w:rPr>
        <w:t>生健康</w:t>
      </w:r>
      <w:r>
        <w:rPr>
          <w:rFonts w:hint="eastAsia" w:ascii="仿宋_GB2312" w:hAnsi="仿宋_GB2312" w:eastAsia="仿宋_GB2312" w:cs="仿宋_GB2312"/>
          <w:sz w:val="32"/>
          <w:szCs w:val="32"/>
          <w:lang w:val="en-US"/>
        </w:rPr>
        <w:t>局、</w:t>
      </w:r>
      <w:r>
        <w:rPr>
          <w:rFonts w:hint="eastAsia" w:ascii="仿宋_GB2312" w:hAnsi="仿宋_GB2312" w:eastAsia="仿宋_GB2312" w:cs="仿宋_GB2312"/>
          <w:color w:val="auto"/>
          <w:sz w:val="32"/>
          <w:szCs w:val="32"/>
          <w:lang w:eastAsia="zh-CN"/>
        </w:rPr>
        <w:t>区市场监督管理局</w:t>
      </w:r>
      <w:r>
        <w:rPr>
          <w:rFonts w:hint="eastAsia" w:ascii="仿宋_GB2312" w:hAnsi="仿宋_GB2312" w:eastAsia="仿宋_GB2312" w:cs="仿宋_GB2312"/>
          <w:sz w:val="32"/>
          <w:szCs w:val="32"/>
          <w:lang w:val="en-US"/>
        </w:rPr>
        <w:t>、</w:t>
      </w:r>
      <w:r>
        <w:rPr>
          <w:rFonts w:hint="eastAsia" w:ascii="仿宋_GB2312" w:hAnsi="仿宋_GB2312" w:eastAsia="仿宋_GB2312" w:cs="仿宋_GB2312"/>
          <w:b w:val="0"/>
          <w:bCs w:val="0"/>
          <w:color w:val="000000"/>
          <w:sz w:val="32"/>
          <w:szCs w:val="32"/>
          <w:lang w:val="en-US" w:eastAsia="zh-CN"/>
        </w:rPr>
        <w:t>区城市管理综合执法局</w:t>
      </w:r>
      <w:r>
        <w:rPr>
          <w:rFonts w:hint="eastAsia" w:ascii="仿宋_GB2312" w:hAnsi="仿宋_GB2312" w:eastAsia="仿宋_GB2312" w:cs="仿宋_GB2312"/>
          <w:sz w:val="32"/>
          <w:szCs w:val="32"/>
          <w:lang w:val="en-US"/>
        </w:rPr>
        <w:t>、区总工会、武警清远支队、区消防救援支队、清城供电局、清城海事处，以及其它相关单位工作人员为应急指挥部成员。</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lang w:val="en-US"/>
        </w:rPr>
      </w:pPr>
      <w:r>
        <w:rPr>
          <w:rFonts w:hint="eastAsia" w:ascii="仿宋_GB2312" w:hAnsi="仿宋_GB2312" w:eastAsia="仿宋_GB2312" w:cs="仿宋_GB2312"/>
          <w:sz w:val="32"/>
          <w:szCs w:val="32"/>
          <w:lang w:val="en-US"/>
        </w:rPr>
        <w:t>发生不同类别的危险化学品生产安全事故，牵头和参与应急处置的部门详见表</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lang w:val="en-US"/>
        </w:rPr>
        <w:t>。</w:t>
      </w:r>
    </w:p>
    <w:p>
      <w:pPr>
        <w:spacing w:before="120" w:beforeLines="50" w:after="120" w:afterLines="50"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b w:val="0"/>
          <w:bCs/>
          <w:sz w:val="28"/>
          <w:szCs w:val="28"/>
        </w:rPr>
        <w:t>表</w:t>
      </w:r>
      <w:r>
        <w:rPr>
          <w:rFonts w:hint="eastAsia" w:ascii="仿宋_GB2312" w:hAnsi="仿宋_GB2312" w:eastAsia="仿宋_GB2312" w:cs="仿宋_GB2312"/>
          <w:b w:val="0"/>
          <w:bCs/>
          <w:sz w:val="28"/>
          <w:szCs w:val="28"/>
          <w:lang w:val="en-US" w:eastAsia="zh-CN"/>
        </w:rPr>
        <w:t>3.1</w:t>
      </w:r>
      <w:r>
        <w:rPr>
          <w:rFonts w:hint="eastAsia" w:ascii="宋体" w:hAnsi="宋体"/>
          <w:b/>
          <w:sz w:val="28"/>
          <w:szCs w:val="28"/>
          <w:lang w:val="en-US" w:eastAsia="zh-CN"/>
        </w:rPr>
        <w:t xml:space="preserve">  </w:t>
      </w:r>
      <w:r>
        <w:rPr>
          <w:rFonts w:hint="eastAsia" w:ascii="宋体" w:hAnsi="宋体"/>
          <w:b/>
          <w:sz w:val="28"/>
          <w:szCs w:val="28"/>
        </w:rPr>
        <w:t xml:space="preserve"> </w:t>
      </w:r>
      <w:r>
        <w:rPr>
          <w:rFonts w:hint="eastAsia" w:ascii="仿宋_GB2312" w:hAnsi="仿宋_GB2312" w:eastAsia="仿宋_GB2312" w:cs="仿宋_GB2312"/>
          <w:b/>
          <w:sz w:val="28"/>
          <w:szCs w:val="28"/>
        </w:rPr>
        <w:t>总指挥部成员单位</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
        <w:gridCol w:w="2250"/>
        <w:gridCol w:w="2144"/>
        <w:gridCol w:w="3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序号</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事故管辖领域</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牵头处置部门</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参与处置部门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剧毒、易制毒、易制爆化学品使用事故</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市公安局清城分局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交通、应急、环保、卫生、消防及其它有关部门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危险化学品道路运输</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区交通运输局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公安、应急、环保、卫生、消防及其它有关部门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生产、经营、储存、使用危险化学品（剧毒、易制毒、易制爆化学品除外）事故</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区应急管理局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公安、交通、环保、卫生、消防及其它有关部门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危险废物储存、处置及危险化学品引发次生环境事故</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市生态环境局清城分局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公安、交通、应急、卫生、消防及其它有关部门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危险化学品水路运输事故</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清城海事处</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公安、交通、环保、应急、卫生、消防及其它有关部门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农用化学品及鼠药（剧毒、易制毒、易制爆化学品除外）事故</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区农业农村局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公安、交通、环保、应急、卫生、消防及其它有关部门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学校实验室化学药品（剧毒、易制毒、易制爆化学品除外）事故</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区教育局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公安、交通、环保、应急、卫生、消防及其它有关部门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8</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石油天然气</w:t>
            </w:r>
            <w:r>
              <w:rPr>
                <w:rFonts w:hint="eastAsia" w:ascii="仿宋_GB2312" w:hAnsi="仿宋_GB2312" w:eastAsia="仿宋_GB2312" w:cs="仿宋_GB2312"/>
                <w:sz w:val="21"/>
                <w:szCs w:val="21"/>
                <w:lang w:val="en-US"/>
              </w:rPr>
              <w:t>长输</w:t>
            </w:r>
            <w:r>
              <w:rPr>
                <w:rFonts w:hint="eastAsia" w:ascii="仿宋_GB2312" w:hAnsi="仿宋_GB2312" w:eastAsia="仿宋_GB2312" w:cs="仿宋_GB2312"/>
                <w:sz w:val="21"/>
                <w:szCs w:val="21"/>
              </w:rPr>
              <w:t>管道</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区发</w:t>
            </w:r>
            <w:r>
              <w:rPr>
                <w:rFonts w:hint="eastAsia" w:ascii="仿宋_GB2312" w:hAnsi="仿宋_GB2312" w:eastAsia="仿宋_GB2312" w:cs="仿宋_GB2312"/>
                <w:sz w:val="21"/>
                <w:szCs w:val="21"/>
                <w:lang w:val="en-US" w:eastAsia="zh-CN"/>
              </w:rPr>
              <w:t>展改革</w:t>
            </w:r>
            <w:r>
              <w:rPr>
                <w:rFonts w:hint="eastAsia" w:ascii="仿宋_GB2312" w:hAnsi="仿宋_GB2312" w:eastAsia="仿宋_GB2312" w:cs="仿宋_GB2312"/>
                <w:sz w:val="21"/>
                <w:szCs w:val="21"/>
                <w:lang w:val="en-US"/>
              </w:rPr>
              <w:t>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公安、交通、环保、应急、卫生、消防及其它有关部门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91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9</w:t>
            </w:r>
          </w:p>
        </w:tc>
        <w:tc>
          <w:tcPr>
            <w:tcW w:w="225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城镇燃气</w:t>
            </w:r>
            <w:r>
              <w:rPr>
                <w:rFonts w:hint="eastAsia" w:ascii="仿宋_GB2312" w:hAnsi="仿宋_GB2312" w:eastAsia="仿宋_GB2312" w:cs="仿宋_GB2312"/>
                <w:sz w:val="21"/>
                <w:szCs w:val="21"/>
                <w:lang w:val="en-US"/>
              </w:rPr>
              <w:t>管道</w:t>
            </w:r>
          </w:p>
        </w:tc>
        <w:tc>
          <w:tcPr>
            <w:tcW w:w="214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区城市管理综合执法局</w:t>
            </w:r>
          </w:p>
        </w:tc>
        <w:tc>
          <w:tcPr>
            <w:tcW w:w="3567"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公安、交通、环保、应急、卫生、消防及其它有关部门</w:t>
            </w:r>
          </w:p>
        </w:tc>
      </w:tr>
    </w:tbl>
    <w:p>
      <w:pPr>
        <w:pStyle w:val="5"/>
        <w:keepNext w:val="0"/>
        <w:keepLines w:val="0"/>
        <w:pageBreakBefore w:val="0"/>
        <w:kinsoku/>
        <w:wordWrap/>
        <w:overflowPunct/>
        <w:topLinePunct w:val="0"/>
        <w:autoSpaceDE/>
        <w:autoSpaceDN/>
        <w:bidi w:val="0"/>
        <w:spacing w:after="0" w:line="560" w:lineRule="exact"/>
        <w:textAlignment w:val="auto"/>
        <w:rPr>
          <w:rFonts w:hint="eastAsia" w:ascii="楷体_GB2312" w:hAnsi="楷体_GB2312" w:eastAsia="楷体_GB2312" w:cs="楷体_GB2312"/>
          <w:b w:val="0"/>
          <w:bCs w:val="0"/>
          <w:sz w:val="32"/>
          <w:szCs w:val="32"/>
          <w:lang w:val="en-US"/>
        </w:rPr>
      </w:pPr>
      <w:bookmarkStart w:id="52" w:name="_Toc351050351"/>
      <w:bookmarkStart w:id="53" w:name="_Toc4919"/>
      <w:bookmarkStart w:id="54" w:name="_Toc10540"/>
      <w:r>
        <w:rPr>
          <w:rFonts w:hint="eastAsia" w:ascii="楷体_GB2312" w:hAnsi="楷体_GB2312" w:eastAsia="楷体_GB2312" w:cs="楷体_GB2312"/>
          <w:b w:val="0"/>
          <w:bCs w:val="0"/>
          <w:sz w:val="32"/>
          <w:szCs w:val="32"/>
          <w:lang w:val="en-US"/>
        </w:rPr>
        <w:t>3.1.2 总指挥部主要职责</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（1）贯彻执行防范和应对有关危险化学品事故的法律、法规、规章和政策；</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（2）确定一般危险化学品事故的等级及响应级别，按本预案规定的程序启动和结束应急响应，统筹有关力量和资源参与事故的应急处置工作；</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bidi="ar-SA"/>
        </w:rPr>
        <w:t>（3）指挥、协调</w:t>
      </w:r>
      <w:r>
        <w:rPr>
          <w:rFonts w:hint="eastAsia" w:ascii="仿宋_GB2312" w:hAnsi="仿宋_GB2312" w:eastAsia="仿宋_GB2312" w:cs="仿宋_GB2312"/>
          <w:sz w:val="32"/>
          <w:szCs w:val="32"/>
        </w:rPr>
        <w:t>各街道办事处、各镇人民政府开展应急救援工作，</w:t>
      </w:r>
      <w:r>
        <w:rPr>
          <w:rFonts w:hint="eastAsia" w:ascii="仿宋_GB2312" w:hAnsi="仿宋_GB2312" w:eastAsia="仿宋_GB2312" w:cs="仿宋_GB2312"/>
          <w:sz w:val="32"/>
          <w:szCs w:val="32"/>
          <w:lang w:val="en-US" w:eastAsia="zh-CN" w:bidi="ar-SA"/>
        </w:rPr>
        <w:t>指挥、协调应急指挥部成员单位</w:t>
      </w:r>
      <w:r>
        <w:rPr>
          <w:rFonts w:hint="eastAsia" w:ascii="仿宋_GB2312" w:hAnsi="仿宋_GB2312" w:eastAsia="仿宋_GB2312" w:cs="仿宋_GB2312"/>
          <w:sz w:val="32"/>
          <w:szCs w:val="32"/>
        </w:rPr>
        <w:t>和区级应急救援力量参与救援工作</w:t>
      </w:r>
      <w:r>
        <w:rPr>
          <w:rFonts w:hint="eastAsia" w:ascii="仿宋_GB2312" w:hAnsi="仿宋_GB2312" w:eastAsia="仿宋_GB2312" w:cs="仿宋_GB2312"/>
          <w:sz w:val="32"/>
          <w:szCs w:val="32"/>
          <w:lang w:eastAsia="zh-CN"/>
        </w:rPr>
        <w:t>；</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bidi="ar-SA"/>
        </w:rPr>
        <w:t>决定和批准抢险救援工作的重大事项；</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sz w:val="28"/>
          <w:szCs w:val="28"/>
          <w:lang w:eastAsia="zh-CN"/>
        </w:rPr>
      </w:pPr>
      <w:r>
        <w:rPr>
          <w:rFonts w:hint="eastAsia" w:ascii="仿宋_GB2312" w:hAnsi="仿宋_GB2312" w:eastAsia="仿宋_GB2312" w:cs="仿宋_GB2312"/>
          <w:sz w:val="32"/>
          <w:szCs w:val="32"/>
          <w:lang w:val="en-US" w:eastAsia="zh-CN" w:bidi="ar-SA"/>
        </w:rPr>
        <w:t>（5）落实上级领导批示（指示）相关事项。</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55" w:name="_Toc12850"/>
      <w:bookmarkStart w:id="56" w:name="_Toc6944"/>
      <w:bookmarkStart w:id="57" w:name="_Toc19541"/>
      <w:bookmarkStart w:id="58" w:name="_Toc20718"/>
      <w:bookmarkStart w:id="59" w:name="_Toc27469"/>
      <w:bookmarkStart w:id="60" w:name="_Toc21873"/>
      <w:r>
        <w:rPr>
          <w:rFonts w:hint="eastAsia" w:ascii="黑体" w:hAnsi="黑体" w:eastAsia="黑体" w:cs="黑体"/>
          <w:b w:val="0"/>
          <w:bCs/>
          <w:kern w:val="2"/>
          <w:sz w:val="32"/>
          <w:szCs w:val="24"/>
          <w:lang w:val="en-US" w:eastAsia="zh-CN"/>
        </w:rPr>
        <w:t>3.2 应急指挥部办公室及职责</w:t>
      </w:r>
      <w:bookmarkEnd w:id="55"/>
    </w:p>
    <w:p>
      <w:pPr>
        <w:pStyle w:val="5"/>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3.2.1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val="en-US"/>
        </w:rPr>
        <w:t>应急指挥部办公室组成</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由牵头处置部门抽调工作人员成立应急指挥部办公室</w:t>
      </w:r>
    </w:p>
    <w:p>
      <w:pPr>
        <w:pStyle w:val="5"/>
        <w:pageBreakBefore w:val="0"/>
        <w:kinsoku/>
        <w:wordWrap/>
        <w:overflowPunct/>
        <w:topLinePunct w:val="0"/>
        <w:autoSpaceDE/>
        <w:autoSpaceDN/>
        <w:bidi w:val="0"/>
        <w:adjustRightInd w:val="0"/>
        <w:snapToGrid w:val="0"/>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3.2.2 应急指挥部办公室职责</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（1）组织开展应急指挥部应急值守相关工作；</w:t>
      </w:r>
    </w:p>
    <w:p>
      <w:pPr>
        <w:pStyle w:val="22"/>
        <w:keepNext w:val="0"/>
        <w:keepLines w:val="0"/>
        <w:pageBreakBefore w:val="0"/>
        <w:widowControl w:val="0"/>
        <w:kinsoku/>
        <w:wordWrap/>
        <w:overflowPunct/>
        <w:topLinePunct w:val="0"/>
        <w:autoSpaceDE/>
        <w:autoSpaceDN/>
        <w:bidi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（2）统筹危险化学品救援抢险应急物资及装备的储备、调用；</w:t>
      </w:r>
    </w:p>
    <w:p>
      <w:pPr>
        <w:pStyle w:val="22"/>
        <w:keepNext w:val="0"/>
        <w:keepLines w:val="0"/>
        <w:pageBreakBefore w:val="0"/>
        <w:widowControl w:val="0"/>
        <w:kinsoku/>
        <w:wordWrap/>
        <w:overflowPunct/>
        <w:topLinePunct w:val="0"/>
        <w:autoSpaceDE/>
        <w:autoSpaceDN/>
        <w:bidi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（3）组织落实应急指挥部决定，协调、调动成员单位开展危险化学品事故应急救援相关工作；</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（4）组织收集、分析有关工作信息，及时上报危险化学品事故重要信息；</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（5）组织发布危险化学品事故预警信息；</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（6）配合有关部门承担危险化学品事故新闻发布工作；</w:t>
      </w:r>
    </w:p>
    <w:p>
      <w:pPr>
        <w:pStyle w:val="22"/>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黑体" w:hAnsi="黑体" w:eastAsia="黑体" w:cs="黑体"/>
          <w:bCs w:val="0"/>
          <w:sz w:val="32"/>
          <w:szCs w:val="32"/>
        </w:rPr>
      </w:pPr>
      <w:r>
        <w:rPr>
          <w:rFonts w:hint="eastAsia" w:ascii="仿宋_GB2312" w:hAnsi="仿宋_GB2312" w:eastAsia="仿宋_GB2312" w:cs="仿宋_GB2312"/>
          <w:sz w:val="32"/>
          <w:szCs w:val="32"/>
          <w:lang w:val="en-US" w:eastAsia="zh-CN" w:bidi="ar-SA"/>
        </w:rPr>
        <w:t>（7）组织开展本区危险化学品事故应急演练、培训、宣传工作。</w:t>
      </w:r>
      <w:bookmarkStart w:id="61" w:name="_Toc20518"/>
    </w:p>
    <w:p>
      <w:pPr>
        <w:pStyle w:val="4"/>
        <w:keepNext/>
        <w:keepLines/>
        <w:pageBreakBefore w:val="0"/>
        <w:kinsoku/>
        <w:wordWrap/>
        <w:overflowPunct/>
        <w:topLinePunct w:val="0"/>
        <w:autoSpaceDE/>
        <w:autoSpaceDN/>
        <w:bidi w:val="0"/>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r>
        <w:rPr>
          <w:rFonts w:hint="eastAsia" w:ascii="黑体" w:hAnsi="黑体" w:eastAsia="黑体" w:cs="黑体"/>
          <w:b w:val="0"/>
          <w:bCs/>
          <w:kern w:val="2"/>
          <w:sz w:val="32"/>
          <w:szCs w:val="24"/>
          <w:lang w:val="en-US" w:eastAsia="zh-CN"/>
        </w:rPr>
        <w:t>3.3 应急指挥部</w:t>
      </w:r>
      <w:bookmarkEnd w:id="52"/>
      <w:bookmarkEnd w:id="53"/>
      <w:bookmarkEnd w:id="54"/>
      <w:bookmarkEnd w:id="56"/>
      <w:bookmarkEnd w:id="57"/>
      <w:bookmarkEnd w:id="58"/>
      <w:bookmarkEnd w:id="59"/>
      <w:bookmarkEnd w:id="60"/>
      <w:bookmarkEnd w:id="61"/>
    </w:p>
    <w:p>
      <w:pPr>
        <w:pStyle w:val="22"/>
        <w:keepNext w:val="0"/>
        <w:keepLines w:val="0"/>
        <w:pageBreakBefore w:val="0"/>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应急指挥部成员单位在区政府的统一领导下，由应急指挥部统一指挥，参与危险化学品事故应急处置工作。应急指挥部各成员单位应根据危险化学品事故应急救援工作需要，结合部门职责编制本部门的专业处置方案，建立应急专家库、专业应急队伍、应急装备、应急物资等应急资源，报应急指挥部办公室备案。当指挥长没有到达现场前，由最先带领处置力量到达现场的有关单位主要负责人暂时履行指挥长职责。其他有关成员单位负责配合、协助参与应急救援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应急指挥部各成员单位及其职责如下：</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b/>
          <w:bCs/>
          <w:sz w:val="32"/>
          <w:szCs w:val="32"/>
        </w:rPr>
        <w:t>区委宣传部：</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val="en-US"/>
        </w:rPr>
        <w:t>组织和指导危险化学品事故应急救援的新闻发布，正确引导舆论导向</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rPr>
        <w:t>区司法局：</w:t>
      </w:r>
      <w:r>
        <w:rPr>
          <w:rFonts w:hint="eastAsia" w:ascii="仿宋_GB2312" w:hAnsi="仿宋_GB2312" w:eastAsia="仿宋_GB2312" w:cs="仿宋_GB2312"/>
          <w:sz w:val="32"/>
          <w:szCs w:val="32"/>
          <w:lang w:val="en-US"/>
        </w:rPr>
        <w:t>负责为危险化学品事故应急救援提供必要的法律支撑服务。</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（3）</w:t>
      </w:r>
      <w:r>
        <w:rPr>
          <w:rFonts w:hint="eastAsia" w:ascii="仿宋_GB2312" w:hAnsi="仿宋_GB2312" w:eastAsia="仿宋_GB2312" w:cs="仿宋_GB2312"/>
          <w:b/>
          <w:bCs/>
          <w:sz w:val="32"/>
          <w:szCs w:val="32"/>
          <w:lang w:val="en-US"/>
        </w:rPr>
        <w:t>区财政局：</w:t>
      </w:r>
      <w:r>
        <w:rPr>
          <w:rFonts w:hint="eastAsia" w:ascii="仿宋_GB2312" w:hAnsi="仿宋_GB2312" w:eastAsia="仿宋_GB2312" w:cs="仿宋_GB2312"/>
          <w:sz w:val="32"/>
          <w:szCs w:val="32"/>
        </w:rPr>
        <w:t>负责在生产安全事故应急救援中按规定应由区级财政承担的有关应急资金保障工作。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4</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市公安局清城分局：</w:t>
      </w:r>
      <w:r>
        <w:rPr>
          <w:rFonts w:hint="eastAsia" w:ascii="仿宋_GB2312" w:hAnsi="仿宋_GB2312" w:eastAsia="仿宋_GB2312" w:cs="仿宋_GB2312"/>
          <w:sz w:val="32"/>
          <w:szCs w:val="32"/>
        </w:rPr>
        <w:t>负责剧毒、易制毒、易制爆化学品使用事故应急救援工作，并牵头组织成立应急指挥部；负责事故现场及周边道路交通管制工作；</w:t>
      </w:r>
      <w:r>
        <w:rPr>
          <w:rFonts w:hint="eastAsia" w:ascii="仿宋_GB2312" w:hAnsi="仿宋_GB2312" w:eastAsia="仿宋_GB2312" w:cs="仿宋_GB2312"/>
          <w:sz w:val="32"/>
          <w:szCs w:val="32"/>
          <w:lang w:val="en-US"/>
        </w:rPr>
        <w:t>负责危险化学品事故现场及周边警戒、道路交通管制；负责对涉案人员的先期控制，维护社会安全秩序，做好遇难者身份鉴定工作，负责易制毒化学品、易制爆化学品、剧毒化学品、特别管控危险化学品等转移工作，协助组织受灾群众安全疏散。</w:t>
      </w:r>
    </w:p>
    <w:p>
      <w:pPr>
        <w:keepNext w:val="0"/>
        <w:keepLines w:val="0"/>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5</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区消防</w:t>
      </w:r>
      <w:r>
        <w:rPr>
          <w:rFonts w:hint="eastAsia" w:ascii="仿宋_GB2312" w:hAnsi="仿宋_GB2312" w:eastAsia="仿宋_GB2312" w:cs="仿宋_GB2312"/>
          <w:b/>
          <w:bCs/>
          <w:sz w:val="32"/>
          <w:szCs w:val="32"/>
          <w:lang w:eastAsia="zh-CN"/>
        </w:rPr>
        <w:t>救援</w:t>
      </w:r>
      <w:r>
        <w:rPr>
          <w:rFonts w:hint="eastAsia" w:ascii="仿宋_GB2312" w:hAnsi="仿宋_GB2312" w:eastAsia="仿宋_GB2312" w:cs="仿宋_GB2312"/>
          <w:b/>
          <w:bCs/>
          <w:sz w:val="32"/>
          <w:szCs w:val="32"/>
        </w:rPr>
        <w:t>大队：</w:t>
      </w:r>
      <w:r>
        <w:rPr>
          <w:rFonts w:hint="eastAsia" w:ascii="仿宋_GB2312" w:hAnsi="仿宋_GB2312" w:eastAsia="仿宋_GB2312" w:cs="仿宋_GB2312"/>
          <w:sz w:val="32"/>
          <w:szCs w:val="32"/>
        </w:rPr>
        <w:t>负责指挥消防救援队伍参与应急救援工作，会同危险化学品专业抢险队伍进行现场应急抢险工作；负责制定事故灭火救援方案；负责事故现场火灾扑救，人员搜救和事故得到控制后的洗消工作。</w:t>
      </w:r>
    </w:p>
    <w:p>
      <w:pPr>
        <w:pStyle w:val="22"/>
        <w:keepNext w:val="0"/>
        <w:keepLines w:val="0"/>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区应急管理局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eastAsia="zh-CN" w:bidi="ar-SA"/>
        </w:rPr>
        <w:t>负责组织、指导、协调危险化学品事故应急救援整体工作；</w:t>
      </w:r>
      <w:r>
        <w:rPr>
          <w:rFonts w:hint="eastAsia" w:ascii="仿宋_GB2312" w:hAnsi="仿宋_GB2312" w:eastAsia="仿宋_GB2312" w:cs="仿宋_GB2312"/>
          <w:sz w:val="32"/>
          <w:szCs w:val="32"/>
        </w:rPr>
        <w:t>负责危险化学品的生产、经营、储存（不含港口）、使用（剧毒、易制毒、易制爆化学品除外）事故的应急救援工作，并牵头组织成立</w:t>
      </w:r>
      <w:r>
        <w:rPr>
          <w:rFonts w:hint="eastAsia" w:ascii="仿宋_GB2312" w:hAnsi="仿宋_GB2312" w:eastAsia="仿宋_GB2312" w:cs="仿宋_GB2312"/>
          <w:sz w:val="32"/>
          <w:szCs w:val="32"/>
          <w:lang w:eastAsia="zh-CN"/>
        </w:rPr>
        <w:t>应急</w:t>
      </w:r>
      <w:r>
        <w:rPr>
          <w:rFonts w:hint="eastAsia" w:ascii="仿宋_GB2312" w:hAnsi="仿宋_GB2312" w:eastAsia="仿宋_GB2312" w:cs="仿宋_GB2312"/>
          <w:sz w:val="32"/>
          <w:szCs w:val="32"/>
        </w:rPr>
        <w:t>指挥部；协调专业危险化学品救援队伍、技术专家队伍参与救援；</w:t>
      </w:r>
      <w:r>
        <w:rPr>
          <w:rFonts w:hint="eastAsia" w:ascii="仿宋_GB2312" w:hAnsi="仿宋_GB2312" w:eastAsia="仿宋_GB2312" w:cs="仿宋_GB2312"/>
          <w:sz w:val="32"/>
          <w:szCs w:val="32"/>
          <w:lang w:val="en-US" w:eastAsia="zh-CN" w:bidi="ar-SA"/>
        </w:rPr>
        <w:t>负责一般以上危险化学品事故信息收集、汇总、报送工作；依法组织指导危险化学品事故调查处理，监督事故责任追究落实情况。</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7</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市生态环境局清城分局：</w:t>
      </w:r>
      <w:r>
        <w:rPr>
          <w:rFonts w:hint="eastAsia" w:ascii="仿宋_GB2312" w:hAnsi="仿宋_GB2312" w:eastAsia="仿宋_GB2312" w:cs="仿宋_GB2312"/>
          <w:sz w:val="32"/>
          <w:szCs w:val="32"/>
        </w:rPr>
        <w:t>负责危险废物储存、处置及危险化学品引发次生环境事故的应急救援工作，并牵头组织成立应急指挥部；负责废弃危险化学品处置事故的应急救援工作，并牵头组织成立现场指挥部；负责组织、协调事故现场的大气、水体污染的监测；负责污染物的清除和处置工作。</w:t>
      </w:r>
    </w:p>
    <w:p>
      <w:pPr>
        <w:keepNext w:val="0"/>
        <w:keepLines w:val="0"/>
        <w:pageBreakBefore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8</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区交通运输局：</w:t>
      </w:r>
      <w:r>
        <w:rPr>
          <w:rFonts w:hint="eastAsia" w:ascii="仿宋_GB2312" w:hAnsi="仿宋_GB2312" w:eastAsia="仿宋_GB2312" w:cs="仿宋_GB2312"/>
          <w:sz w:val="32"/>
          <w:szCs w:val="32"/>
        </w:rPr>
        <w:t>负责危险化学品道路运输事故应急救援工作，并牵头组织成立应急指挥部；</w:t>
      </w:r>
      <w:r>
        <w:rPr>
          <w:rFonts w:hint="eastAsia" w:ascii="仿宋_GB2312" w:hAnsi="仿宋_GB2312" w:eastAsia="仿宋_GB2312" w:cs="仿宋_GB2312"/>
          <w:sz w:val="32"/>
          <w:szCs w:val="32"/>
          <w:lang w:val="en-US"/>
        </w:rPr>
        <w:t>负责经交通运输部门许可的危险化学品道路运输的许可及运输工具的安全监管；配合应急管理部门建立完善道路危险化学品运输事故所需的应急专家、专业队伍、转输装备及车辆等应急资源调查收集机制，并根据处置需要调集相关力量参与救援工作；负责组织、协调危险化学品事故应急处置所需的交通运输保障；组织、指导事发周边涉及的在建交通工程的抢险救援工作</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9</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w:t>
      </w:r>
      <w:r>
        <w:rPr>
          <w:rFonts w:hint="eastAsia" w:ascii="仿宋_GB2312" w:hAnsi="仿宋_GB2312" w:eastAsia="仿宋_GB2312" w:cs="仿宋_GB2312"/>
          <w:b/>
          <w:bCs/>
          <w:sz w:val="32"/>
          <w:szCs w:val="32"/>
          <w:lang w:eastAsia="zh-CN"/>
        </w:rPr>
        <w:t>住房城乡建设局</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lang w:val="en-US"/>
        </w:rPr>
        <w:t>负责指导因危险化学品事故造成受损建（构）筑物的评估、鉴定、处置工作，指导事故发生城市开展城市基础设施和公用设施的处置和恢复重建工作</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10</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区卫生健康局：</w:t>
      </w:r>
      <w:r>
        <w:rPr>
          <w:rFonts w:hint="eastAsia" w:ascii="仿宋_GB2312" w:hAnsi="仿宋_GB2312" w:eastAsia="仿宋_GB2312" w:cs="仿宋_GB2312"/>
          <w:sz w:val="32"/>
          <w:szCs w:val="32"/>
          <w:lang w:val="en-US"/>
        </w:rPr>
        <w:t>负责调度全区医疗队伍、急救专家等资源和力量，做好危险化学品事故受伤人员的救治和康复工作；设立临时医疗点，为受灾群众、抢险救援人员、集中安置点灾民提供医疗保障服务；按需开展现场救援区域的防疫消毒；为受伤人员和受灾群众提供心理卫生咨询和帮助。</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11</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清城海事处：</w:t>
      </w:r>
      <w:r>
        <w:rPr>
          <w:rFonts w:hint="eastAsia" w:ascii="仿宋_GB2312" w:hAnsi="仿宋_GB2312" w:eastAsia="仿宋_GB2312" w:cs="仿宋_GB2312"/>
          <w:sz w:val="32"/>
          <w:szCs w:val="32"/>
        </w:rPr>
        <w:t>负责危险化学品水路运输事故的应急救援工作，并牵头组织成立现场指挥部；负责事故现场的水上交通管制工作。</w:t>
      </w:r>
    </w:p>
    <w:p>
      <w:pPr>
        <w:pStyle w:val="22"/>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区发展改革局</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eastAsia="zh-CN" w:bidi="ar-SA"/>
        </w:rPr>
        <w:t>组织协调事故现场成品油保障，牵头处置石油天然气长输管道事故应急救援工作。</w:t>
      </w:r>
      <w:r>
        <w:rPr>
          <w:rFonts w:hint="eastAsia" w:ascii="仿宋_GB2312" w:hAnsi="仿宋_GB2312" w:eastAsia="仿宋_GB2312" w:cs="仿宋_GB2312"/>
          <w:sz w:val="32"/>
          <w:szCs w:val="32"/>
        </w:rPr>
        <w:t>按职责做好救灾物资的收储、轮换和日常管理工作；负责生产安全事故现场的救灾物资保障。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区市场</w:t>
      </w:r>
      <w:r>
        <w:rPr>
          <w:rFonts w:hint="eastAsia" w:ascii="仿宋_GB2312" w:hAnsi="仿宋_GB2312" w:eastAsia="仿宋_GB2312" w:cs="仿宋_GB2312"/>
          <w:b/>
          <w:bCs/>
          <w:sz w:val="32"/>
          <w:szCs w:val="32"/>
          <w:lang w:eastAsia="zh-CN"/>
        </w:rPr>
        <w:t>监督管理</w:t>
      </w:r>
      <w:r>
        <w:rPr>
          <w:rFonts w:hint="eastAsia" w:ascii="仿宋_GB2312" w:hAnsi="仿宋_GB2312" w:eastAsia="仿宋_GB2312" w:cs="仿宋_GB2312"/>
          <w:b/>
          <w:bCs/>
          <w:sz w:val="32"/>
          <w:szCs w:val="32"/>
        </w:rPr>
        <w:t>局：</w:t>
      </w:r>
      <w:r>
        <w:rPr>
          <w:rFonts w:hint="eastAsia" w:ascii="仿宋_GB2312" w:hAnsi="仿宋_GB2312" w:eastAsia="仿宋_GB2312" w:cs="仿宋_GB2312"/>
          <w:sz w:val="32"/>
          <w:szCs w:val="32"/>
        </w:rPr>
        <w:t>负责组织事故现场压力容器、压力管道等特种设备的处置工作；</w:t>
      </w:r>
      <w:r>
        <w:rPr>
          <w:rFonts w:hint="eastAsia" w:ascii="仿宋_GB2312" w:hAnsi="仿宋_GB2312" w:eastAsia="仿宋_GB2312" w:cs="仿宋_GB2312"/>
          <w:sz w:val="32"/>
          <w:szCs w:val="32"/>
          <w:lang w:val="en-US"/>
        </w:rPr>
        <w:t>指导、协调危险化学品事故涉及原料、产品及其包装物的质量检测、质量鉴定和事故现场压力容器、压力管道等特种设备检测、认定，提出应急救援技术措施，对事故救援现场所需特种设备提供技术支持；依法承担特种设备事故调查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区水利局：</w:t>
      </w:r>
      <w:r>
        <w:rPr>
          <w:rFonts w:hint="eastAsia" w:ascii="仿宋_GB2312" w:hAnsi="仿宋_GB2312" w:eastAsia="仿宋_GB2312" w:cs="仿宋_GB2312"/>
          <w:sz w:val="32"/>
          <w:szCs w:val="32"/>
          <w:lang w:val="en-US"/>
        </w:rPr>
        <w:t>负责组织供水企业做好事故现场救援的供水保障；组织、指导事发周边涉及的在建水务工程的抢险救援工作，以及事故有关供水、排水设施的抢险抢修工作；协助做好事发地饮用水源保护工作和污染沿线的预警工作；根据事故情况，指导城市供水企业单位做好相应的应急处置工作，防止次生事故发生；协助事故救援污水转移和处置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eastAsia="zh-CN"/>
        </w:rPr>
        <w:t>清城</w:t>
      </w:r>
      <w:r>
        <w:rPr>
          <w:rFonts w:hint="eastAsia" w:ascii="仿宋_GB2312" w:hAnsi="仿宋_GB2312" w:eastAsia="仿宋_GB2312" w:cs="仿宋_GB2312"/>
          <w:b/>
          <w:bCs/>
          <w:sz w:val="32"/>
          <w:szCs w:val="32"/>
        </w:rPr>
        <w:t>供电局：</w:t>
      </w:r>
      <w:r>
        <w:rPr>
          <w:rFonts w:hint="eastAsia" w:ascii="仿宋_GB2312" w:hAnsi="仿宋_GB2312" w:eastAsia="仿宋_GB2312" w:cs="仿宋_GB2312"/>
          <w:sz w:val="32"/>
          <w:szCs w:val="32"/>
          <w:lang w:val="en-US"/>
        </w:rPr>
        <w:t>负责组织实施管辖范围内受事故影响的电网恢复及供电局资产设备设施抢修工作，为应急救援提供电力保障；组织管辖范围内电力设备的停电及事后恢复工作</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区农业农村局：</w:t>
      </w:r>
      <w:r>
        <w:rPr>
          <w:rFonts w:hint="eastAsia" w:ascii="仿宋_GB2312" w:hAnsi="仿宋_GB2312" w:eastAsia="仿宋_GB2312" w:cs="仿宋_GB2312"/>
          <w:sz w:val="32"/>
          <w:szCs w:val="32"/>
        </w:rPr>
        <w:t>负责农用化学品及鼠药事故应急处置工作。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区教育局：</w:t>
      </w:r>
      <w:r>
        <w:rPr>
          <w:rFonts w:hint="eastAsia" w:ascii="仿宋_GB2312" w:hAnsi="仿宋_GB2312" w:eastAsia="仿宋_GB2312" w:cs="仿宋_GB2312"/>
          <w:sz w:val="32"/>
          <w:szCs w:val="32"/>
        </w:rPr>
        <w:t>负责学校实验室化学药品事故应急处置工作。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区</w:t>
      </w:r>
      <w:r>
        <w:rPr>
          <w:rFonts w:hint="eastAsia" w:ascii="仿宋_GB2312" w:hAnsi="仿宋_GB2312" w:eastAsia="仿宋_GB2312" w:cs="仿宋_GB2312"/>
          <w:b/>
          <w:bCs/>
          <w:sz w:val="32"/>
          <w:szCs w:val="32"/>
          <w:lang w:eastAsia="zh-CN"/>
        </w:rPr>
        <w:t>工业和信息化局</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督促各中小企业危险化学品从业单位按照应急部门要求制定危险化学品应急救援预案。</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rPr>
        <w:t>区</w:t>
      </w:r>
      <w:r>
        <w:rPr>
          <w:rFonts w:hint="eastAsia" w:ascii="仿宋_GB2312" w:hAnsi="仿宋_GB2312" w:eastAsia="仿宋_GB2312" w:cs="仿宋_GB2312"/>
          <w:b/>
          <w:bCs/>
          <w:sz w:val="32"/>
          <w:szCs w:val="32"/>
          <w:lang w:val="en-US" w:eastAsia="zh-CN"/>
        </w:rPr>
        <w:t>城市管理综合执法局</w:t>
      </w:r>
      <w:r>
        <w:rPr>
          <w:rFonts w:hint="eastAsia" w:ascii="仿宋_GB2312" w:hAnsi="仿宋_GB2312" w:eastAsia="仿宋_GB2312" w:cs="仿宋_GB2312"/>
          <w:b/>
          <w:bCs/>
          <w:sz w:val="32"/>
          <w:szCs w:val="32"/>
          <w:lang w:val="en-US"/>
        </w:rPr>
        <w:t>：</w:t>
      </w:r>
      <w:r>
        <w:rPr>
          <w:rFonts w:hint="eastAsia" w:ascii="仿宋_GB2312" w:hAnsi="仿宋_GB2312" w:eastAsia="仿宋_GB2312" w:cs="仿宋_GB2312"/>
          <w:sz w:val="32"/>
          <w:szCs w:val="32"/>
          <w:lang w:val="en-US"/>
        </w:rPr>
        <w:t>负责提供事发地管辖范围内相关市政路灯设施的地下管线资料，并做好相应的应急准备和抢险救援工作，牵头处置城镇燃气经营、储存生产安全事故应急救援工作。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b/>
          <w:bCs/>
          <w:sz w:val="32"/>
          <w:szCs w:val="32"/>
          <w:lang w:val="en-US"/>
        </w:rPr>
        <w:t>区文化广电旅游体育局</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rPr>
        <w:t>负责协调清远广播电视台落实应急广播电视保障工作。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rPr>
        <w:t>）</w:t>
      </w:r>
      <w:r>
        <w:rPr>
          <w:rFonts w:hint="eastAsia" w:ascii="仿宋_GB2312" w:hAnsi="仿宋_GB2312" w:eastAsia="仿宋_GB2312" w:cs="仿宋_GB2312"/>
          <w:b/>
          <w:bCs/>
          <w:sz w:val="32"/>
          <w:szCs w:val="32"/>
          <w:lang w:val="en-US"/>
        </w:rPr>
        <w:t>区</w:t>
      </w:r>
      <w:r>
        <w:rPr>
          <w:rFonts w:hint="eastAsia" w:ascii="仿宋_GB2312" w:hAnsi="仿宋_GB2312" w:eastAsia="仿宋_GB2312" w:cs="仿宋_GB2312"/>
          <w:b/>
          <w:bCs/>
          <w:sz w:val="32"/>
          <w:szCs w:val="32"/>
          <w:lang w:val="en-US" w:eastAsia="zh-CN"/>
        </w:rPr>
        <w:t>人力资源社会保障局：</w:t>
      </w:r>
      <w:r>
        <w:rPr>
          <w:rFonts w:hint="eastAsia" w:ascii="仿宋_GB2312" w:hAnsi="仿宋_GB2312" w:eastAsia="仿宋_GB2312" w:cs="仿宋_GB2312"/>
          <w:sz w:val="32"/>
          <w:szCs w:val="32"/>
          <w:lang w:val="en-US"/>
        </w:rPr>
        <w:t>负责组织指导各地区对事故灾难伤亡人员的工伤认定和工伤保险待遇支付工作，并参与善后处理工作。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en-US"/>
        </w:rPr>
        <w:t>）</w:t>
      </w:r>
      <w:r>
        <w:rPr>
          <w:rFonts w:hint="eastAsia" w:ascii="仿宋_GB2312" w:hAnsi="仿宋_GB2312" w:eastAsia="仿宋_GB2312" w:cs="仿宋_GB2312"/>
          <w:b/>
          <w:bCs/>
          <w:sz w:val="32"/>
          <w:szCs w:val="32"/>
          <w:lang w:val="en-US"/>
        </w:rPr>
        <w:t>市自然资源局清城分局</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rPr>
        <w:t>负责根据抢险救援的需要提供事发地的区域地形图及相关资料，负责事故现场应急测绘保障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rPr>
        <w:t>）</w:t>
      </w:r>
      <w:r>
        <w:rPr>
          <w:rFonts w:hint="eastAsia" w:ascii="仿宋_GB2312" w:hAnsi="仿宋_GB2312" w:eastAsia="仿宋_GB2312" w:cs="仿宋_GB2312"/>
          <w:b/>
          <w:bCs/>
          <w:sz w:val="32"/>
          <w:szCs w:val="32"/>
          <w:lang w:val="en-US"/>
        </w:rPr>
        <w:t>区总工会</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sz w:val="32"/>
          <w:szCs w:val="32"/>
          <w:lang w:val="en-US"/>
        </w:rPr>
        <w:t>依法参与事故调查处理，结合工会职责，向有关部门提出处理意见，督促事故发生单位防范和整改措施的落实。</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rPr>
        <w:t>）</w:t>
      </w:r>
      <w:r>
        <w:rPr>
          <w:rFonts w:hint="eastAsia" w:ascii="仿宋_GB2312" w:hAnsi="仿宋_GB2312" w:eastAsia="仿宋_GB2312" w:cs="仿宋_GB2312"/>
          <w:b/>
          <w:bCs/>
          <w:sz w:val="32"/>
          <w:szCs w:val="32"/>
          <w:lang w:eastAsia="zh-CN"/>
        </w:rPr>
        <w:t>各</w:t>
      </w:r>
      <w:r>
        <w:rPr>
          <w:rFonts w:hint="eastAsia" w:ascii="仿宋_GB2312" w:hAnsi="仿宋_GB2312" w:eastAsia="仿宋_GB2312" w:cs="仿宋_GB2312"/>
          <w:b/>
          <w:bCs/>
          <w:sz w:val="32"/>
          <w:szCs w:val="32"/>
        </w:rPr>
        <w:t>镇人民政府</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街道办事处</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val="en-US"/>
        </w:rPr>
        <w:t>按照属地管理原则，做好辖区内应急队伍建设及应急物资、装备储备工作，负责组织协调应急救援后勤保障、善后处置、事后恢复等工作</w:t>
      </w:r>
      <w:r>
        <w:rPr>
          <w:rFonts w:hint="eastAsia" w:ascii="仿宋_GB2312" w:hAnsi="仿宋_GB2312" w:eastAsia="仿宋_GB2312" w:cs="仿宋_GB2312"/>
          <w:sz w:val="32"/>
          <w:szCs w:val="32"/>
        </w:rPr>
        <w:t>；参与危险化学品事故应急处置工作。</w:t>
      </w:r>
    </w:p>
    <w:p>
      <w:pPr>
        <w:pStyle w:val="22"/>
        <w:keepNext w:val="0"/>
        <w:keepLines w:val="0"/>
        <w:pageBreakBefore w:val="0"/>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（25）</w:t>
      </w:r>
      <w:r>
        <w:rPr>
          <w:rFonts w:hint="eastAsia" w:ascii="仿宋_GB2312" w:hAnsi="仿宋_GB2312" w:eastAsia="仿宋_GB2312" w:cs="仿宋_GB2312"/>
          <w:b/>
          <w:bCs/>
          <w:sz w:val="32"/>
          <w:szCs w:val="32"/>
          <w:lang w:val="en-US" w:eastAsia="zh-CN" w:bidi="ar-SA"/>
        </w:rPr>
        <w:t>事发单位：</w:t>
      </w:r>
      <w:r>
        <w:rPr>
          <w:rFonts w:hint="eastAsia" w:ascii="仿宋_GB2312" w:hAnsi="仿宋_GB2312" w:eastAsia="仿宋_GB2312" w:cs="仿宋_GB2312"/>
          <w:sz w:val="32"/>
          <w:szCs w:val="32"/>
          <w:lang w:val="en-US" w:eastAsia="zh-CN" w:bidi="ar-SA"/>
        </w:rPr>
        <w:t>事故发生时，事发单位应立即启动本企业应急响应，按照规定向事发地的负有安全生产监督管理职责的部门及街（镇）有关部门上报事故信息，并及时通报可能受到事故危害的单位和居民；按照现场抢险指挥机构的要求，提供应急处置相关资料，参与事故抢险、救援及抢修等工作。相关涉事周边单位应协同应对，采取有效措施消除或减轻事故危害。</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lang w:val="en-US"/>
        </w:rPr>
        <w:t>）</w:t>
      </w:r>
      <w:r>
        <w:rPr>
          <w:rFonts w:hint="eastAsia" w:ascii="仿宋_GB2312" w:hAnsi="仿宋_GB2312" w:eastAsia="仿宋_GB2312" w:cs="仿宋_GB2312"/>
          <w:b/>
          <w:bCs/>
          <w:sz w:val="32"/>
          <w:szCs w:val="32"/>
          <w:lang w:val="en-US"/>
        </w:rPr>
        <w:t>其他成员单位：</w:t>
      </w:r>
      <w:r>
        <w:rPr>
          <w:rFonts w:hint="eastAsia" w:ascii="仿宋_GB2312" w:hAnsi="仿宋_GB2312" w:eastAsia="仿宋_GB2312" w:cs="仿宋_GB2312"/>
          <w:sz w:val="32"/>
          <w:szCs w:val="32"/>
          <w:lang w:val="en-US"/>
        </w:rPr>
        <w:t>按本部门工作职责承担相应的应急处置工作。</w:t>
      </w:r>
    </w:p>
    <w:p>
      <w:pPr>
        <w:keepNext w:val="0"/>
        <w:keepLines w:val="0"/>
        <w:pageBreakBefore w:val="0"/>
        <w:kinsoku/>
        <w:wordWrap/>
        <w:overflowPunct/>
        <w:topLinePunct w:val="0"/>
        <w:autoSpaceDE/>
        <w:autoSpaceDN/>
        <w:bidi w:val="0"/>
        <w:spacing w:after="0" w:line="560" w:lineRule="exact"/>
        <w:ind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总指挥部也可根据应急救援需要和相关部门职能，临时协调其他区安委会成员单位参与事故救援和相关保障工作。</w:t>
      </w:r>
    </w:p>
    <w:p>
      <w:pPr>
        <w:keepNext w:val="0"/>
        <w:keepLines w:val="0"/>
        <w:pageBreakBefore w:val="0"/>
        <w:widowControl/>
        <w:kinsoku/>
        <w:wordWrap/>
        <w:overflowPunct/>
        <w:topLinePunct w:val="0"/>
        <w:autoSpaceDE/>
        <w:autoSpaceDN/>
        <w:bidi w:val="0"/>
        <w:adjustRightInd/>
        <w:snapToGrid/>
        <w:spacing w:after="0" w:line="560" w:lineRule="exact"/>
        <w:jc w:val="both"/>
        <w:textAlignment w:val="auto"/>
        <w:outlineLvl w:val="9"/>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3.3.1 现场指挥部的职责</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现场指挥部根据应急指挥部的指令，指挥协调以下具体工作，参加事故现场救援的部门（单位）和个人应当服从现场指挥部的统一指挥：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（1）根据救援工作需要，成立应急工作组，指挥各部门参与事故救援，指定承担事故核心区救援指挥工作的具体部门；</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（2）组织制订应急处置方案，向各应急工作组下达工作任务；</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（3）督促各应急工作组按照救援任务制订工作方案并实施，接受各工作组的工作汇报；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（4）负责现场处置沟通协调、督查督办、信息报送，材料汇总等综合工作；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（5）针对事故引发或可能引发的次生、衍生事故（如环境污染），适时通知相邻地区人民政府；</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（6）根据处置需要，决定依法调用和征用有关单位或个人的设备、设施、场地、交通工具等应急资源；</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（7）及时向区应急指挥部报告应急救援处置、事态评估情况和工作建议，落实区政府有关决定事项和区领导批示、指示；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（8）发现可能直接危及应急救援人员生命安全的紧急情况时，应当立即采取相应措施消除隐患，化解或者降低风险，必要时可以暂时撤离应急救援人员；</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（9）根据救援工作需要，提请应急指挥部按报批程序请求驻地部队参加应急救援行动。</w:t>
      </w:r>
    </w:p>
    <w:p>
      <w:pPr>
        <w:pStyle w:val="5"/>
        <w:pageBreakBefore w:val="0"/>
        <w:kinsoku/>
        <w:wordWrap/>
        <w:overflowPunct/>
        <w:topLinePunct w:val="0"/>
        <w:autoSpaceDE/>
        <w:autoSpaceDN/>
        <w:bidi w:val="0"/>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3.3.2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val="en-US"/>
        </w:rPr>
        <w:t>应急救援各工作组职责</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指挥部下设现场指挥部下设综合协调组、技术专家组、抢险救灾组、治安疏导组、医疗卫生保障组、舆情新闻信息组、后勤保障组、环境气象监测组、调查评估组、善后工作组共10个工作组，根据《清城区危险化学品事故现场指挥部各工作组职责分工一览表》（附件10.9），各工作组组长由现场指挥长指定参与抢险救援部门（单位）的现场负责人担任。现场指挥部全权负责事故现场应急救援处置方案的制定和组织实施，指挥参与应急救援的队伍和人员开展应急救援行动，及时向总指挥部报告事故发展态势及救援情况，提出需要总指挥部协调解决的有关事项。</w:t>
      </w:r>
    </w:p>
    <w:p>
      <w:pPr>
        <w:pStyle w:val="4"/>
        <w:keepNext/>
        <w:keepLines/>
        <w:pageBreakBefore w:val="0"/>
        <w:kinsoku/>
        <w:wordWrap/>
        <w:overflowPunct/>
        <w:topLinePunct w:val="0"/>
        <w:autoSpaceDE/>
        <w:autoSpaceDN/>
        <w:bidi w:val="0"/>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62" w:name="_Toc9061"/>
      <w:r>
        <w:rPr>
          <w:rFonts w:hint="eastAsia" w:ascii="黑体" w:hAnsi="黑体" w:eastAsia="黑体" w:cs="黑体"/>
          <w:b w:val="0"/>
          <w:bCs/>
          <w:kern w:val="2"/>
          <w:sz w:val="32"/>
          <w:szCs w:val="24"/>
          <w:lang w:val="en-US" w:eastAsia="zh-CN"/>
        </w:rPr>
        <w:t>3.4 应急救援队伍</w:t>
      </w:r>
      <w:bookmarkEnd w:id="62"/>
    </w:p>
    <w:p>
      <w:pPr>
        <w:pStyle w:val="5"/>
        <w:pageBreakBefore w:val="0"/>
        <w:kinsoku/>
        <w:wordWrap/>
        <w:overflowPunct/>
        <w:topLinePunct w:val="0"/>
        <w:autoSpaceDE/>
        <w:autoSpaceDN/>
        <w:bidi w:val="0"/>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3.4.1 应急救援队伍组成</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危险化学品事故应急救援队伍包括企业应急救援队伍、消防救援、专业应急救援队伍、卫健、生态环境和其它有关部门的应急救援队伍等。必要时，可协调驻清城部队和市危险化学品应急救援队伍。</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各应急救援队伍接到调度指令后，应立即启动应急响应行动，携带专业救援装备器材，尽快赶赴事故现场。应急救援队伍应在现场指挥部统一指挥下，发挥专长，相互协作、科学施救。</w:t>
      </w:r>
    </w:p>
    <w:p>
      <w:pPr>
        <w:pStyle w:val="5"/>
        <w:pageBreakBefore w:val="0"/>
        <w:kinsoku/>
        <w:wordWrap/>
        <w:overflowPunct/>
        <w:topLinePunct w:val="0"/>
        <w:autoSpaceDE/>
        <w:autoSpaceDN/>
        <w:bidi w:val="0"/>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3.4.2 应急救援队伍职责</w:t>
      </w:r>
    </w:p>
    <w:p>
      <w:pPr>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综合性应急救援队伍。负责扑救事故现场火灾和组织人员搜救；根据危险化学品事故处置</w:t>
      </w:r>
      <w:r>
        <w:rPr>
          <w:rFonts w:hint="eastAsia" w:ascii="仿宋_GB2312" w:hAnsi="仿宋_GB2312" w:eastAsia="仿宋_GB2312" w:cs="仿宋_GB2312"/>
          <w:color w:val="auto"/>
          <w:sz w:val="32"/>
          <w:szCs w:val="32"/>
          <w:highlight w:val="none"/>
          <w:lang w:val="en-US"/>
        </w:rPr>
        <w:t>需要</w:t>
      </w:r>
      <w:r>
        <w:rPr>
          <w:rFonts w:hint="eastAsia" w:ascii="仿宋_GB2312" w:hAnsi="仿宋_GB2312" w:eastAsia="仿宋_GB2312" w:cs="仿宋_GB2312"/>
          <w:color w:val="auto"/>
          <w:sz w:val="32"/>
          <w:szCs w:val="32"/>
          <w:highlight w:val="none"/>
          <w:lang w:val="en-US" w:eastAsia="zh-CN"/>
        </w:rPr>
        <w:t>开展处置</w:t>
      </w:r>
      <w:r>
        <w:rPr>
          <w:rFonts w:hint="eastAsia" w:ascii="仿宋_GB2312" w:hAnsi="仿宋_GB2312" w:eastAsia="仿宋_GB2312" w:cs="仿宋_GB2312"/>
          <w:sz w:val="32"/>
          <w:szCs w:val="32"/>
          <w:lang w:val="en-US"/>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专业应急救援队伍。按照队伍各自特点负责危险化学品事故现场应急处置和应急保障，与综合性应急救援队伍协同完成救援任务，并提供专业技术支持，接受综合性应急救援队伍现场负责人指挥。建立应急值班制度，配备应急值班人员，加强日常训练与考核，提高实战技能，发挥救援队伍在预防性检查、安全技术服务等方面的作用。</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企业应急救援队伍。负责本单位危险化学品事故的先期处置和应急救援工作，配合综合性应急救援队伍、专业应急救援队伍开展抢险救援；定期进行预防性检查，消除事故隐患，并建立预防检查档案；按照编制的危险化学品事故应急预案，定期组织演练。</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（4）社会应急救援队伍。参与防灾避险、疏散安置、急救技能等应急知识的宣传、教育和普及工作，协助开展应急救援工作。</w:t>
      </w:r>
    </w:p>
    <w:p>
      <w:pPr>
        <w:pStyle w:val="4"/>
        <w:keepNext/>
        <w:keepLines/>
        <w:pageBreakBefore w:val="0"/>
        <w:kinsoku/>
        <w:wordWrap/>
        <w:overflowPunct/>
        <w:topLinePunct w:val="0"/>
        <w:autoSpaceDE/>
        <w:autoSpaceDN/>
        <w:bidi w:val="0"/>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63" w:name="_Toc26755"/>
      <w:r>
        <w:rPr>
          <w:rFonts w:hint="eastAsia" w:ascii="黑体" w:hAnsi="黑体" w:eastAsia="黑体" w:cs="黑体"/>
          <w:b w:val="0"/>
          <w:bCs/>
          <w:kern w:val="2"/>
          <w:sz w:val="32"/>
          <w:szCs w:val="24"/>
          <w:lang w:val="en-US" w:eastAsia="zh-CN"/>
        </w:rPr>
        <w:t>3.5 应急救援专家</w:t>
      </w:r>
      <w:bookmarkEnd w:id="63"/>
    </w:p>
    <w:p>
      <w:pPr>
        <w:pStyle w:val="5"/>
        <w:pageBreakBefore w:val="0"/>
        <w:kinsoku/>
        <w:wordWrap/>
        <w:overflowPunct/>
        <w:topLinePunct w:val="0"/>
        <w:autoSpaceDE/>
        <w:autoSpaceDN/>
        <w:bidi w:val="0"/>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3.5.1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val="en-US"/>
        </w:rPr>
        <w:t>应急救援专家组组成</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救援专家从市级危险化学品应急救援专家库中抽调，区应急管理局联系市应急管理局下达调度指令，相关专家接到指令后应尽快赶赴指定地点或通过网络、电话联络等手段，为应急救援工作提供专业咨询和技术支持，为事故救援处置提供辅助决策建议，必要时可参与现场技术鉴定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cs="Arial"/>
          <w:sz w:val="28"/>
          <w:szCs w:val="28"/>
          <w:lang w:val="en-US"/>
        </w:rPr>
      </w:pPr>
      <w:r>
        <w:rPr>
          <w:rFonts w:hint="eastAsia" w:ascii="仿宋_GB2312" w:hAnsi="仿宋_GB2312" w:eastAsia="仿宋_GB2312" w:cs="仿宋_GB2312"/>
          <w:sz w:val="32"/>
          <w:szCs w:val="32"/>
          <w:lang w:val="en-US"/>
        </w:rPr>
        <w:t>应急指挥部根据应急工作需要组建危险化学品应急救援专家组，由消防、危险化学品、机械电气、应急处置、建筑工程、环境保护、医疗救护等专业专家组成。依托清远市危险化学品事故应急救援指挥部危险化学品领域专家组，具体名单见附10.6。</w:t>
      </w:r>
    </w:p>
    <w:p>
      <w:pPr>
        <w:pStyle w:val="5"/>
        <w:keepNext w:val="0"/>
        <w:keepLines w:val="0"/>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3.5.2 应急救援专家组职责</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（1）对事故的发展趋势、抢险救援方案、专业处置方案等提出意见和建议，为应急抢险救援行动的决策、指挥提供技术支持；</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（2）对事故可能造成的危害进行预测、评估；</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（3）根据行政主管部门的安排，参与应急演练及事故调查。</w:t>
      </w:r>
      <w:bookmarkStart w:id="64" w:name="_Toc5432"/>
    </w:p>
    <w:p>
      <w:pPr>
        <w:pStyle w:val="2"/>
        <w:rPr>
          <w:rFonts w:hint="eastAsia"/>
          <w:lang w:val="en-US"/>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65" w:name="_Toc18947"/>
      <w:r>
        <w:rPr>
          <w:rStyle w:val="26"/>
          <w:rFonts w:hint="eastAsia" w:ascii="方正小标宋_GBK" w:hAnsi="方正小标宋_GBK" w:eastAsia="方正小标宋_GBK" w:cs="方正小标宋_GBK"/>
          <w:b w:val="0"/>
          <w:bCs/>
          <w:sz w:val="44"/>
          <w:szCs w:val="44"/>
          <w:lang w:val="en-US" w:eastAsia="zh-CN" w:bidi="ar"/>
        </w:rPr>
        <w:t xml:space="preserve">4 </w:t>
      </w:r>
      <w:bookmarkEnd w:id="64"/>
      <w:r>
        <w:rPr>
          <w:rStyle w:val="26"/>
          <w:rFonts w:hint="eastAsia" w:ascii="方正小标宋_GBK" w:hAnsi="方正小标宋_GBK" w:eastAsia="方正小标宋_GBK" w:cs="方正小标宋_GBK"/>
          <w:b w:val="0"/>
          <w:bCs/>
          <w:sz w:val="44"/>
          <w:szCs w:val="44"/>
          <w:lang w:val="en-US" w:eastAsia="zh-CN" w:bidi="ar"/>
        </w:rPr>
        <w:t>监测预警与信息报告</w:t>
      </w:r>
      <w:bookmarkEnd w:id="65"/>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66" w:name="_Toc2726"/>
      <w:bookmarkStart w:id="67" w:name="_Toc3562"/>
      <w:r>
        <w:rPr>
          <w:rFonts w:hint="eastAsia" w:ascii="黑体" w:hAnsi="黑体" w:eastAsia="黑体" w:cs="黑体"/>
          <w:b w:val="0"/>
          <w:bCs/>
          <w:kern w:val="2"/>
          <w:sz w:val="32"/>
          <w:szCs w:val="24"/>
          <w:lang w:val="en-US" w:eastAsia="zh-CN"/>
        </w:rPr>
        <w:t>4.1 预防</w:t>
      </w:r>
      <w:bookmarkEnd w:id="66"/>
      <w:bookmarkEnd w:id="67"/>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根据本区的实际情况，规范危险化学品行业布局，充分考虑土地、人口、资源、环境等因素，统筹加强城市规划与危险化学品产业发展的衔接，科学规避危险化学品生产安全事故风险，提高城市安全水平。</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各部门、各单位应坚持“预防为主、预防与应急相结合”的原则，重点排查危险化学品生产、经营、储存、使用等环节的风险点和危险源，建立完善危险化学品风险点和危险源数据库，构建安全监管部门与各行业主管部门之间危险化学品重大危险源信息共享机制。</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生产、经营、储存、使用、运输单位及处置废弃危险化学品单位应按照有关规定，制定本单位危险化学品生产安全事故应急预案，确保企业应急预案与各级政府及主管部门相关预案衔接畅通，提高应急预案的科学性、针对性、实用性和可操作性。</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对生产经营场所及周边环境开展隐患排查，及时采取有效措施消除事故隐患，防止事故发生；开展各单位从业人员、安全管理人员和主要负责人的安全生产培训教育工作，加强应急救援力量建设，配备应急救援装备和器材，并定期组织开展应急演练。</w:t>
      </w:r>
    </w:p>
    <w:p>
      <w:pPr>
        <w:keepNext w:val="0"/>
        <w:keepLines w:val="0"/>
        <w:pageBreakBefore w:val="0"/>
        <w:widowControl w:val="0"/>
        <w:numPr>
          <w:ilvl w:val="0"/>
          <w:numId w:val="2"/>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生产、经营、储存、使用、运输单位及处置废弃危险化学品单位应当建立应急值班制度，配备应急值班人员；规模较大、危险性较高的危险化学品的生产、经营、储存、运输单位应当成立应急技术组，实行24小时应急值班。</w:t>
      </w:r>
    </w:p>
    <w:p>
      <w:pPr>
        <w:keepNext w:val="0"/>
        <w:keepLines w:val="0"/>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积极开展危险化学品培训教育，对危险化学品从业人员及应急救援人员普及危险化学品分类及危险化学品危险特性基础知识，全面掌握各类危险化学品事故应急救援工作程序与应急处置工作要点。</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68" w:name="_Toc4941"/>
      <w:bookmarkStart w:id="69" w:name="_Toc29257"/>
      <w:r>
        <w:rPr>
          <w:rFonts w:hint="eastAsia" w:ascii="黑体" w:hAnsi="黑体" w:eastAsia="黑体" w:cs="黑体"/>
          <w:b w:val="0"/>
          <w:bCs/>
          <w:kern w:val="2"/>
          <w:sz w:val="32"/>
          <w:szCs w:val="24"/>
          <w:lang w:val="en-US" w:eastAsia="zh-CN"/>
        </w:rPr>
        <w:t>4.2 监测</w:t>
      </w:r>
      <w:bookmarkEnd w:id="68"/>
      <w:bookmarkEnd w:id="69"/>
    </w:p>
    <w:p>
      <w:pPr>
        <w:keepNext w:val="0"/>
        <w:keepLines w:val="0"/>
        <w:pageBreakBefore w:val="0"/>
        <w:widowControl w:val="0"/>
        <w:numPr>
          <w:ilvl w:val="0"/>
          <w:numId w:val="3"/>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根据危险化学品风险点和危险源数据库，建立危险化学品重大危险源安全监测监控体系，实现对重大危险源的实时监控，及时发现可能使重大危险源由安全状态向事故临界状态转化的各种参数变化趋势，给出预警信息或应急控制指令，做到早发现、早报告、早处置。</w:t>
      </w:r>
    </w:p>
    <w:p>
      <w:pPr>
        <w:keepNext w:val="0"/>
        <w:keepLines w:val="0"/>
        <w:pageBreakBefore w:val="0"/>
        <w:widowControl w:val="0"/>
        <w:numPr>
          <w:ilvl w:val="0"/>
          <w:numId w:val="3"/>
        </w:numPr>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cs="Arial"/>
          <w:sz w:val="28"/>
          <w:szCs w:val="28"/>
          <w:lang w:val="en-US"/>
        </w:rPr>
      </w:pPr>
      <w:r>
        <w:rPr>
          <w:rFonts w:hint="eastAsia" w:ascii="仿宋_GB2312" w:hAnsi="仿宋_GB2312" w:eastAsia="仿宋_GB2312" w:cs="仿宋_GB2312"/>
          <w:sz w:val="32"/>
          <w:szCs w:val="32"/>
          <w:lang w:val="en-US"/>
        </w:rPr>
        <w:t>危险化学品生产、经营、储存企业应当建立危险化学品生产安全事故隐患排查治理、报告和建档等监控制度，严格落实企业的隐患排查治理主体责任，定期组织安全生产管理人员、工程技术人员和其他相关人员开展隐患排查治理工作。对于排查发现的事故隐患，应当按照事故隐患的等级进行登记，建立事故隐患信息档案，并按照职责分工实施监控治理，并向所在地安全监管部门和其他有关行业监管部门报告。</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70" w:name="_Toc29678"/>
      <w:bookmarkStart w:id="71" w:name="_Toc3902"/>
      <w:r>
        <w:rPr>
          <w:rFonts w:hint="eastAsia" w:ascii="黑体" w:hAnsi="黑体" w:eastAsia="黑体" w:cs="黑体"/>
          <w:b w:val="0"/>
          <w:bCs/>
          <w:kern w:val="2"/>
          <w:sz w:val="32"/>
          <w:szCs w:val="24"/>
          <w:lang w:val="en-US" w:eastAsia="zh-CN"/>
        </w:rPr>
        <w:t>4.3 预警</w:t>
      </w:r>
      <w:bookmarkEnd w:id="70"/>
      <w:bookmarkEnd w:id="71"/>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根据危险化学品生产安全事故可能造成的危害程度、紧急程度和发展态势，预警级别分为Ⅰ级、Ⅱ级、Ⅲ级和Ⅳ级，Ⅰ级为最高级别，分别用红色、橙色、黄色、蓝色标示，预警级别划分标准如下:</w:t>
      </w:r>
    </w:p>
    <w:p>
      <w:pPr>
        <w:pageBreakBefore w:val="0"/>
        <w:widowControl w:val="0"/>
        <w:numPr>
          <w:ilvl w:val="0"/>
          <w:numId w:val="4"/>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蓝色等级（Ⅳ级）：预计可能发生一般（Ⅳ级）以上危险化学品生产安全事故，事故即将临近，事态可能会扩大；</w:t>
      </w:r>
    </w:p>
    <w:p>
      <w:pPr>
        <w:pageBreakBefore w:val="0"/>
        <w:widowControl w:val="0"/>
        <w:numPr>
          <w:ilvl w:val="0"/>
          <w:numId w:val="4"/>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黄色等级（Ⅲ级）：预计可能发生较大（Ⅲ级）以上危险化学品生产安全事故，事故已经临近，事态有扩大的趋势；</w:t>
      </w:r>
    </w:p>
    <w:p>
      <w:pPr>
        <w:pageBreakBefore w:val="0"/>
        <w:widowControl w:val="0"/>
        <w:numPr>
          <w:ilvl w:val="0"/>
          <w:numId w:val="4"/>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橙色等级（Ⅱ级）：预计可能发生重大（Ⅱ级）以上危险化学品生产安全事故，事故即将发生，事态正在逐步扩大；</w:t>
      </w:r>
    </w:p>
    <w:p>
      <w:pPr>
        <w:pageBreakBefore w:val="0"/>
        <w:widowControl w:val="0"/>
        <w:numPr>
          <w:ilvl w:val="0"/>
          <w:numId w:val="4"/>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红色等级（Ⅰ级）：预计可能发生特别重大（Ⅰ级）以上危险化学品生产安全事故，事故会随时发生，事态正在不断蔓延。</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生产安全事故即将发生或发生的可能性增大时，应急指挥部对危险化学品生产安全事故信息进行评估，预测危险化学品生产安全事故发生可能性的大小、影响范围和强度以及可能发生的危险化学品生产安全事故级别。</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72" w:name="_Toc17093"/>
      <w:bookmarkStart w:id="73" w:name="_Toc26054"/>
      <w:r>
        <w:rPr>
          <w:rFonts w:hint="eastAsia" w:ascii="黑体" w:hAnsi="黑体" w:eastAsia="黑体" w:cs="黑体"/>
          <w:b w:val="0"/>
          <w:bCs/>
          <w:kern w:val="2"/>
          <w:sz w:val="32"/>
          <w:szCs w:val="24"/>
          <w:lang w:val="en-US" w:eastAsia="zh-CN"/>
        </w:rPr>
        <w:t>4.4 信息报告和共享</w:t>
      </w:r>
      <w:bookmarkEnd w:id="72"/>
      <w:bookmarkEnd w:id="73"/>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生产安全事故发生后，事故发生单位及各有关部门应按照有关规定和《关于进一步加强和规范生产安全事故信息报送及处置工作的通知》（粤安〔2012〕11号）的要求及时报送。生产安全事故须在事件发生后1个小时内逐级上报至区委、区政府和区安委办（区应急管理局），情况特别紧急时，可越级上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事故报告内容主要包括：</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（1）事故发生单位概况；</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（2）事故发生的时间、地点以及事故现场情况（包括但不限于化学品名称（或类别）、包装和涉及数量、事故范围、周围环境等）；</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（3）事故的简要经过；</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（4）事故已经造成或者可能造成的伤亡人数（包括下落不明的人数）和初步估计的直接经济损失；</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（5）已经采取的措施（包括现场已经采用的救援措施、已经赶赴和正在赶赴现场的领导和应急力量等）；</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（6）其他应当报告的情况。</w:t>
      </w:r>
    </w:p>
    <w:p>
      <w:pPr>
        <w:pStyle w:val="2"/>
        <w:rPr>
          <w:rFonts w:hint="eastAsia"/>
          <w:lang w:val="en-US"/>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74" w:name="_Toc2710"/>
      <w:r>
        <w:rPr>
          <w:rStyle w:val="26"/>
          <w:rFonts w:hint="eastAsia" w:ascii="方正小标宋_GBK" w:hAnsi="方正小标宋_GBK" w:eastAsia="方正小标宋_GBK" w:cs="方正小标宋_GBK"/>
          <w:b w:val="0"/>
          <w:bCs/>
          <w:sz w:val="44"/>
          <w:szCs w:val="44"/>
          <w:lang w:val="en-US" w:eastAsia="zh-CN" w:bidi="ar"/>
        </w:rPr>
        <w:t>5 应急响应</w:t>
      </w:r>
      <w:bookmarkEnd w:id="74"/>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75" w:name="_Toc341702470"/>
      <w:bookmarkStart w:id="76" w:name="_Toc341446246"/>
      <w:bookmarkStart w:id="77" w:name="_Toc29059"/>
      <w:bookmarkStart w:id="78" w:name="_Toc31780"/>
      <w:bookmarkStart w:id="79" w:name="_Toc351050359"/>
      <w:bookmarkStart w:id="80" w:name="_Toc26031"/>
      <w:bookmarkStart w:id="81" w:name="_Toc8699"/>
      <w:bookmarkStart w:id="82" w:name="_Toc20748"/>
      <w:bookmarkStart w:id="83" w:name="_Toc14446"/>
      <w:bookmarkStart w:id="84" w:name="_Toc21536"/>
      <w:bookmarkStart w:id="85" w:name="_Toc14324"/>
      <w:r>
        <w:rPr>
          <w:rFonts w:hint="eastAsia" w:ascii="黑体" w:hAnsi="黑体" w:eastAsia="黑体" w:cs="黑体"/>
          <w:b w:val="0"/>
          <w:bCs/>
          <w:kern w:val="2"/>
          <w:sz w:val="32"/>
          <w:szCs w:val="24"/>
          <w:lang w:val="en-US" w:eastAsia="zh-CN"/>
        </w:rPr>
        <w:t>5.1 响应</w:t>
      </w:r>
      <w:bookmarkEnd w:id="75"/>
      <w:bookmarkEnd w:id="76"/>
      <w:r>
        <w:rPr>
          <w:rFonts w:hint="eastAsia" w:ascii="黑体" w:hAnsi="黑体" w:eastAsia="黑体" w:cs="黑体"/>
          <w:b w:val="0"/>
          <w:bCs/>
          <w:kern w:val="2"/>
          <w:sz w:val="32"/>
          <w:szCs w:val="24"/>
          <w:lang w:val="en-US" w:eastAsia="zh-CN"/>
        </w:rPr>
        <w:t>主体</w:t>
      </w:r>
      <w:bookmarkEnd w:id="77"/>
      <w:bookmarkEnd w:id="78"/>
      <w:bookmarkEnd w:id="79"/>
      <w:bookmarkEnd w:id="80"/>
      <w:bookmarkEnd w:id="81"/>
      <w:bookmarkEnd w:id="82"/>
      <w:bookmarkEnd w:id="83"/>
      <w:bookmarkEnd w:id="84"/>
      <w:bookmarkEnd w:id="85"/>
    </w:p>
    <w:p>
      <w:pPr>
        <w:pStyle w:val="5"/>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rPr>
      </w:pPr>
      <w:bookmarkStart w:id="86" w:name="_Toc18765"/>
      <w:bookmarkStart w:id="87" w:name="_Toc351050360"/>
      <w:bookmarkStart w:id="88" w:name="_Toc3472"/>
      <w:bookmarkStart w:id="89" w:name="_Toc349652449"/>
      <w:bookmarkStart w:id="90" w:name="_Toc28858"/>
      <w:bookmarkStart w:id="91" w:name="_Toc4306"/>
      <w:bookmarkStart w:id="92" w:name="_Toc27602"/>
      <w:bookmarkStart w:id="93" w:name="_Toc8216"/>
      <w:bookmarkStart w:id="94" w:name="_Toc21291"/>
      <w:bookmarkStart w:id="95" w:name="_Toc351019996"/>
      <w:bookmarkStart w:id="96" w:name="_Toc341446243"/>
      <w:r>
        <w:rPr>
          <w:rFonts w:hint="eastAsia" w:ascii="楷体_GB2312" w:hAnsi="楷体_GB2312" w:eastAsia="楷体_GB2312" w:cs="楷体_GB2312"/>
          <w:b w:val="0"/>
          <w:bCs w:val="0"/>
          <w:sz w:val="32"/>
          <w:szCs w:val="32"/>
        </w:rPr>
        <w:t>5.1.1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企业响应</w:t>
      </w:r>
      <w:bookmarkEnd w:id="86"/>
      <w:bookmarkEnd w:id="87"/>
      <w:bookmarkEnd w:id="88"/>
      <w:bookmarkEnd w:id="89"/>
      <w:bookmarkEnd w:id="90"/>
      <w:bookmarkEnd w:id="91"/>
      <w:bookmarkEnd w:id="92"/>
      <w:bookmarkEnd w:id="93"/>
      <w:bookmarkEnd w:id="94"/>
      <w:bookmarkEnd w:id="95"/>
      <w:bookmarkEnd w:id="96"/>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危险化学品企业发现事故征兆或已经发生生产安全事故，现场人员应采取紧急避险，在确保安全的前提下采取进一步应急处置措施，开展自救和互救，并立即报告企业负责人。</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事故单位负责人接到事故报告后，应按照企业应急预案及时启动应急响应，采取应急救援行动，同时向政府有关部门报告事故情况。</w:t>
      </w:r>
    </w:p>
    <w:p>
      <w:pPr>
        <w:pStyle w:val="5"/>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rPr>
      </w:pPr>
      <w:bookmarkStart w:id="97" w:name="_Toc351050361"/>
      <w:bookmarkStart w:id="98" w:name="_Toc4204"/>
      <w:bookmarkStart w:id="99" w:name="_Toc1907"/>
      <w:bookmarkStart w:id="100" w:name="_Toc4550"/>
      <w:bookmarkStart w:id="101" w:name="_Toc2340"/>
      <w:bookmarkStart w:id="102" w:name="_Toc3667"/>
      <w:bookmarkStart w:id="103" w:name="_Toc341446244"/>
      <w:bookmarkStart w:id="104" w:name="_Toc32691"/>
      <w:bookmarkStart w:id="105" w:name="_Toc17481"/>
      <w:bookmarkStart w:id="106" w:name="_Toc351019997"/>
      <w:bookmarkStart w:id="107" w:name="_Toc349652450"/>
      <w:r>
        <w:rPr>
          <w:rFonts w:hint="eastAsia" w:ascii="楷体_GB2312" w:hAnsi="楷体_GB2312" w:eastAsia="楷体_GB2312" w:cs="楷体_GB2312"/>
          <w:b w:val="0"/>
          <w:bCs w:val="0"/>
          <w:sz w:val="32"/>
          <w:szCs w:val="32"/>
        </w:rPr>
        <w:t>5.1.2 各级人民政府的响应</w:t>
      </w:r>
      <w:bookmarkEnd w:id="97"/>
      <w:bookmarkEnd w:id="98"/>
      <w:bookmarkEnd w:id="99"/>
      <w:bookmarkEnd w:id="100"/>
      <w:bookmarkEnd w:id="101"/>
      <w:bookmarkEnd w:id="102"/>
      <w:bookmarkEnd w:id="103"/>
      <w:bookmarkEnd w:id="104"/>
      <w:bookmarkEnd w:id="105"/>
      <w:bookmarkEnd w:id="106"/>
      <w:bookmarkEnd w:id="107"/>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发生危险化学品生产安全事故后，属地街道办事处（镇人民政府）应根据情况，启动应急响应程序，立即组织开展事故先期应急处置工作。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区安委会尽快成立总指挥部，明确总指挥部组成人员，按本预案要求启动应急响应。</w:t>
      </w:r>
    </w:p>
    <w:p>
      <w:pPr>
        <w:pStyle w:val="5"/>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rPr>
      </w:pPr>
      <w:bookmarkStart w:id="108" w:name="_Toc27363"/>
      <w:bookmarkStart w:id="109" w:name="_Toc351050362"/>
      <w:bookmarkStart w:id="110" w:name="_Toc351019998"/>
      <w:bookmarkStart w:id="111" w:name="_Toc7071"/>
      <w:bookmarkStart w:id="112" w:name="_Toc30989"/>
      <w:bookmarkStart w:id="113" w:name="_Toc13169"/>
      <w:bookmarkStart w:id="114" w:name="_Toc3647"/>
      <w:bookmarkStart w:id="115" w:name="_Toc349652451"/>
      <w:bookmarkStart w:id="116" w:name="_Toc27247"/>
      <w:bookmarkStart w:id="117" w:name="_Toc341446245"/>
      <w:bookmarkStart w:id="118" w:name="_Toc9305"/>
      <w:r>
        <w:rPr>
          <w:rFonts w:hint="eastAsia" w:ascii="楷体_GB2312" w:hAnsi="楷体_GB2312" w:eastAsia="楷体_GB2312" w:cs="楷体_GB2312"/>
          <w:b w:val="0"/>
          <w:bCs w:val="0"/>
          <w:sz w:val="32"/>
          <w:szCs w:val="32"/>
        </w:rPr>
        <w:t>5.1.3 区有关部门的响应</w:t>
      </w:r>
      <w:bookmarkEnd w:id="108"/>
      <w:bookmarkEnd w:id="109"/>
      <w:bookmarkEnd w:id="110"/>
      <w:bookmarkEnd w:id="111"/>
      <w:bookmarkEnd w:id="112"/>
      <w:bookmarkEnd w:id="113"/>
      <w:bookmarkEnd w:id="114"/>
      <w:bookmarkEnd w:id="115"/>
      <w:bookmarkEnd w:id="116"/>
      <w:bookmarkEnd w:id="117"/>
      <w:bookmarkEnd w:id="118"/>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发生危险化学品生产安全事故后，事故牵头处置部门应根据情况，尽快成立现场指挥部，启动应急响应程序。组织、指挥各有关单位全力以赴组织救援，并及时将救援工作进展情况按有关规定上报。</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有关部门在接到总指挥部的调度指令后，应立即启动本部门应急响应程序，协调、指导事故发生地人民政府和下级部门做好相应应急救援工作，协调区级力量和其它镇力量增援，及时向总指挥部汇报情况，落实总指挥的决策指示。</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19" w:name="_Toc16322"/>
      <w:bookmarkStart w:id="120" w:name="_Toc624"/>
      <w:bookmarkStart w:id="121" w:name="_Toc9303"/>
      <w:bookmarkStart w:id="122" w:name="_Toc351050363"/>
      <w:bookmarkStart w:id="123" w:name="_Toc4089"/>
      <w:bookmarkStart w:id="124" w:name="_Toc21294"/>
      <w:bookmarkStart w:id="125" w:name="_Toc26119"/>
      <w:bookmarkStart w:id="126" w:name="_Toc351019999"/>
      <w:bookmarkStart w:id="127" w:name="_Toc13094"/>
      <w:bookmarkStart w:id="128" w:name="_Toc26756"/>
      <w:bookmarkStart w:id="129" w:name="_Toc9586"/>
      <w:r>
        <w:rPr>
          <w:rFonts w:hint="eastAsia" w:ascii="黑体" w:hAnsi="黑体" w:eastAsia="黑体" w:cs="黑体"/>
          <w:b w:val="0"/>
          <w:bCs/>
          <w:kern w:val="2"/>
          <w:sz w:val="32"/>
          <w:szCs w:val="24"/>
          <w:lang w:val="en-US" w:eastAsia="zh-CN"/>
        </w:rPr>
        <w:t>5.2 响应程序</w:t>
      </w:r>
      <w:bookmarkEnd w:id="119"/>
      <w:bookmarkEnd w:id="120"/>
      <w:bookmarkEnd w:id="121"/>
      <w:bookmarkEnd w:id="122"/>
      <w:bookmarkEnd w:id="123"/>
      <w:bookmarkEnd w:id="124"/>
      <w:bookmarkEnd w:id="125"/>
      <w:bookmarkEnd w:id="126"/>
      <w:bookmarkEnd w:id="127"/>
      <w:bookmarkEnd w:id="128"/>
      <w:bookmarkEnd w:id="129"/>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危险化学品生产安全事故按照下列程序进行：</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接到事故信息报告后，分析判断事故是否达到Ⅳ级应急响应条件。</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达到Ⅳ级应急响应条件的，立即向区安委会申请启动Ⅳ级应急响应程序，将事故情况上报区政府有关领导并通报有关部门。</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成立总指挥部，总指挥、副总指挥及各成员到位，按应急职责展开应急救援工作：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default" w:ascii="Calibri" w:hAnsi="Calibri" w:eastAsia="仿宋_GB2312" w:cs="Calibri"/>
          <w:sz w:val="32"/>
          <w:szCs w:val="32"/>
        </w:rPr>
        <w:t>①</w:t>
      </w:r>
      <w:r>
        <w:rPr>
          <w:rFonts w:hint="eastAsia" w:ascii="仿宋_GB2312" w:hAnsi="仿宋_GB2312" w:eastAsia="仿宋_GB2312" w:cs="仿宋_GB2312"/>
          <w:sz w:val="32"/>
          <w:szCs w:val="32"/>
        </w:rPr>
        <w:t>指导、协调现场指挥部开展现场应急救援、监测、避险疏散、保卫警戒、医疗救护等工作。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default" w:ascii="Calibri" w:hAnsi="Calibri" w:eastAsia="仿宋_GB2312" w:cs="Calibri"/>
          <w:sz w:val="32"/>
          <w:szCs w:val="32"/>
        </w:rPr>
        <w:t>②</w:t>
      </w:r>
      <w:r>
        <w:rPr>
          <w:rFonts w:hint="eastAsia" w:ascii="仿宋_GB2312" w:hAnsi="仿宋_GB2312" w:eastAsia="仿宋_GB2312" w:cs="仿宋_GB2312"/>
          <w:sz w:val="32"/>
          <w:szCs w:val="32"/>
        </w:rPr>
        <w:t>协调相关专家及专业人员参与救援。</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default" w:ascii="Calibri" w:hAnsi="Calibri" w:eastAsia="仿宋_GB2312" w:cs="Calibri"/>
          <w:sz w:val="32"/>
          <w:szCs w:val="32"/>
        </w:rPr>
        <w:t>③</w:t>
      </w:r>
      <w:r>
        <w:rPr>
          <w:rFonts w:hint="eastAsia" w:ascii="仿宋_GB2312" w:hAnsi="仿宋_GB2312" w:eastAsia="仿宋_GB2312" w:cs="仿宋_GB2312"/>
          <w:sz w:val="32"/>
          <w:szCs w:val="32"/>
        </w:rPr>
        <w:t>跟踪事故发展态势，如有需要，协调增加应急救援力量。</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bookmarkStart w:id="130" w:name="_Toc341702475"/>
      <w:bookmarkStart w:id="131" w:name="_Toc5247"/>
      <w:bookmarkStart w:id="132" w:name="_Toc351050364"/>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指导协调相关善后工作，启动事故调查处理程序。</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符合应急救援结束条件时，终止应急救援响应程序。</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事故超出区级应急救援处置能力时，应及时上报，请求启动更高一级应急响应，请求市危险化学品事故应急机构进行救援。市、省、国家相关应急机构启动Ⅲ级、Ⅱ级、Ⅰ级应急响应时，在Ⅳ级应急响应的基础上，由区应急指挥部按照上级应急机构的统一部署、要求，组织、协调本区各方面应急资源，配合上级应急机构做好救援处置工作。</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33" w:name="_Toc12250"/>
      <w:bookmarkStart w:id="134" w:name="_Toc30735"/>
      <w:bookmarkStart w:id="135" w:name="_Toc15999"/>
      <w:bookmarkStart w:id="136" w:name="_Toc5801"/>
      <w:bookmarkStart w:id="137" w:name="_Toc13662"/>
      <w:bookmarkStart w:id="138" w:name="_Toc9492"/>
      <w:bookmarkStart w:id="139" w:name="_Toc30323"/>
      <w:r>
        <w:rPr>
          <w:rFonts w:hint="eastAsia" w:ascii="黑体" w:hAnsi="黑体" w:eastAsia="黑体" w:cs="黑体"/>
          <w:b w:val="0"/>
          <w:bCs/>
          <w:kern w:val="2"/>
          <w:sz w:val="32"/>
          <w:szCs w:val="24"/>
          <w:lang w:val="en-US" w:eastAsia="zh-CN"/>
        </w:rPr>
        <w:t>5.3 现场应急处置</w:t>
      </w:r>
      <w:bookmarkEnd w:id="130"/>
      <w:r>
        <w:rPr>
          <w:rFonts w:hint="eastAsia" w:ascii="黑体" w:hAnsi="黑体" w:eastAsia="黑体" w:cs="黑体"/>
          <w:b w:val="0"/>
          <w:bCs/>
          <w:kern w:val="2"/>
          <w:sz w:val="32"/>
          <w:szCs w:val="24"/>
          <w:lang w:val="en-US" w:eastAsia="zh-CN"/>
        </w:rPr>
        <w:t>要点</w:t>
      </w:r>
      <w:bookmarkEnd w:id="131"/>
      <w:bookmarkEnd w:id="132"/>
      <w:bookmarkEnd w:id="133"/>
      <w:bookmarkEnd w:id="134"/>
      <w:bookmarkEnd w:id="135"/>
      <w:bookmarkEnd w:id="136"/>
      <w:bookmarkEnd w:id="137"/>
      <w:bookmarkEnd w:id="138"/>
      <w:bookmarkEnd w:id="139"/>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现场指挥部应根据事故情况分析，采取安全、有效的应急救援行动。</w:t>
      </w:r>
    </w:p>
    <w:p>
      <w:pPr>
        <w:pStyle w:val="2"/>
        <w:pageBreakBefore w:val="0"/>
        <w:kinsoku/>
        <w:wordWrap/>
        <w:overflowPunct/>
        <w:topLinePunct w:val="0"/>
        <w:autoSpaceDE/>
        <w:autoSpaceDN/>
        <w:bidi w:val="0"/>
        <w:adjustRightInd/>
        <w:snapToGrid/>
        <w:spacing w:after="0" w:line="560" w:lineRule="exact"/>
        <w:textAlignment w:val="auto"/>
        <w:rPr>
          <w:rFonts w:hint="eastAsia"/>
        </w:rPr>
      </w:pPr>
    </w:p>
    <w:p>
      <w:pPr>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rPr>
      </w:pPr>
      <w:bookmarkStart w:id="140" w:name="_Toc32321"/>
      <w:bookmarkStart w:id="141" w:name="_Toc7810"/>
      <w:bookmarkStart w:id="142" w:name="_Toc22950"/>
      <w:bookmarkStart w:id="143" w:name="_Toc16325"/>
      <w:bookmarkStart w:id="144" w:name="_Toc10527"/>
      <w:bookmarkStart w:id="145" w:name="_Toc27035"/>
      <w:bookmarkStart w:id="146" w:name="_Toc351050365"/>
      <w:r>
        <w:rPr>
          <w:rFonts w:hint="eastAsia" w:ascii="楷体_GB2312" w:hAnsi="楷体_GB2312" w:eastAsia="楷体_GB2312" w:cs="楷体_GB2312"/>
          <w:b w:val="0"/>
          <w:bCs w:val="0"/>
          <w:sz w:val="32"/>
          <w:szCs w:val="32"/>
        </w:rPr>
        <w:t>5.3.1 及时了解事故现场的情况</w:t>
      </w:r>
      <w:bookmarkEnd w:id="140"/>
      <w:bookmarkEnd w:id="141"/>
      <w:bookmarkEnd w:id="142"/>
      <w:bookmarkEnd w:id="143"/>
      <w:bookmarkEnd w:id="144"/>
      <w:bookmarkEnd w:id="145"/>
      <w:bookmarkEnd w:id="146"/>
    </w:p>
    <w:p>
      <w:pPr>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具体处置措施需</w:t>
      </w:r>
      <w:r>
        <w:rPr>
          <w:rFonts w:hint="eastAsia" w:ascii="仿宋_GB2312" w:hAnsi="仿宋_GB2312" w:eastAsia="仿宋_GB2312" w:cs="仿宋_GB2312"/>
          <w:sz w:val="32"/>
          <w:szCs w:val="32"/>
          <w:lang w:val="en-US" w:eastAsia="zh-CN"/>
        </w:rPr>
        <w:t>依据</w:t>
      </w:r>
      <w:r>
        <w:rPr>
          <w:rFonts w:hint="eastAsia" w:ascii="仿宋_GB2312" w:hAnsi="仿宋_GB2312" w:eastAsia="仿宋_GB2312" w:cs="仿宋_GB2312"/>
          <w:sz w:val="32"/>
          <w:szCs w:val="32"/>
          <w:lang w:val="en-US"/>
        </w:rPr>
        <w:t>事故企业发生事故性质</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rPr>
        <w:t>企业生产安全事故应急预案、企业技术人员和专业救援力量协商确定现场应急处置措施。</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主要（但不限于）包括下列内容：</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遇险人员伤亡、失踪、被困等情况；</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危险化学品危险特性、数量、应急处置方法等信息；</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周边建筑、居民、地形、电源、火源等情况；</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风速、风向等气象信息；</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事故可能导致的后果及对周围区域的可能影响范围和危害程度；</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应急救援设备、物质、器材、队伍等应急力量情况；</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有关装置、设备、设施等损毁情况；</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其它情况。</w:t>
      </w:r>
    </w:p>
    <w:p>
      <w:pPr>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rPr>
      </w:pPr>
      <w:bookmarkStart w:id="147" w:name="_Toc23400"/>
      <w:bookmarkStart w:id="148" w:name="_Toc12599"/>
      <w:bookmarkStart w:id="149" w:name="_Toc10109"/>
      <w:bookmarkStart w:id="150" w:name="_Toc18118"/>
      <w:bookmarkStart w:id="151" w:name="_Toc351050366"/>
      <w:bookmarkStart w:id="152" w:name="_Toc21135"/>
      <w:bookmarkStart w:id="153" w:name="_Toc26302"/>
      <w:r>
        <w:rPr>
          <w:rFonts w:hint="eastAsia" w:ascii="楷体_GB2312" w:hAnsi="楷体_GB2312" w:eastAsia="楷体_GB2312" w:cs="楷体_GB2312"/>
          <w:b w:val="0"/>
          <w:bCs w:val="0"/>
          <w:sz w:val="32"/>
          <w:szCs w:val="32"/>
        </w:rPr>
        <w:t>5.3.2 事故现场应急处置工作要点</w:t>
      </w:r>
      <w:bookmarkEnd w:id="147"/>
      <w:bookmarkEnd w:id="148"/>
      <w:bookmarkEnd w:id="149"/>
      <w:bookmarkEnd w:id="150"/>
      <w:bookmarkEnd w:id="151"/>
      <w:bookmarkEnd w:id="152"/>
      <w:bookmarkEnd w:id="153"/>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发生危险化学品生产安全事故，现场指挥部应尽可能采取下列（但不限于）一项或者多项基本应急处置要点：</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应急疏散：</w:t>
      </w:r>
      <w:r>
        <w:rPr>
          <w:rFonts w:hint="eastAsia" w:ascii="仿宋_GB2312" w:hAnsi="仿宋_GB2312" w:eastAsia="仿宋_GB2312" w:cs="仿宋_GB2312"/>
          <w:sz w:val="32"/>
          <w:szCs w:val="32"/>
        </w:rPr>
        <w:t>根据事故现场危险化学品自身及燃烧产物的毒害性、扩散趋势、火焰辐射热和爆炸、泄漏所涉及到的范围等，对危险区域进行评估，确定警戒隔离区，并根据事故发展、应急处置和动态监测的情况，及时调整警戒隔离区。对警戒隔离区内与事故应急处置无关的人员撤离至安全区。疏散过程中应避免横穿危险区，并注意根据危险化学品的危险特性，指导疏散人员就地取材（如毛巾、湿布、口罩等），采取简易有效的保护措施。</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现场抢险：</w:t>
      </w:r>
      <w:r>
        <w:rPr>
          <w:rFonts w:hint="eastAsia" w:ascii="仿宋_GB2312" w:hAnsi="仿宋_GB2312" w:eastAsia="仿宋_GB2312" w:cs="仿宋_GB2312"/>
          <w:sz w:val="32"/>
          <w:szCs w:val="32"/>
        </w:rPr>
        <w:t>应急救援工作应注意科学施救。控制、记录进入现场救援人员的数量，应急救援人员应配备必要的安全防护装备，携带救生器材进入现场。受困人员转移到安全区后，由专业医疗卫生机构处置。</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保卫警戒：</w:t>
      </w:r>
      <w:r>
        <w:rPr>
          <w:rFonts w:hint="eastAsia" w:ascii="仿宋_GB2312" w:hAnsi="仿宋_GB2312" w:eastAsia="仿宋_GB2312" w:cs="仿宋_GB2312"/>
          <w:sz w:val="32"/>
          <w:szCs w:val="32"/>
        </w:rPr>
        <w:t>在警戒隔离区边界设置警示标志，并设专人负责警戒。对通往事故现场的道路实行交通管制，严禁无关车辆进入。清理主要交通干道，保证道路畅通。合理设置出入口，除应急救援人员外，严禁无关人员进入。</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医疗救护：</w:t>
      </w:r>
      <w:r>
        <w:rPr>
          <w:rFonts w:hint="eastAsia" w:ascii="仿宋_GB2312" w:hAnsi="仿宋_GB2312" w:eastAsia="仿宋_GB2312" w:cs="仿宋_GB2312"/>
          <w:sz w:val="32"/>
          <w:szCs w:val="32"/>
        </w:rPr>
        <w:t>携带相应的急救药品赶赴现场实施现场急救，选择合适的医院实施深度治疗。</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现场监测：</w:t>
      </w:r>
      <w:r>
        <w:rPr>
          <w:rFonts w:hint="eastAsia" w:ascii="仿宋_GB2312" w:hAnsi="仿宋_GB2312" w:eastAsia="仿宋_GB2312" w:cs="仿宋_GB2312"/>
          <w:sz w:val="32"/>
          <w:szCs w:val="32"/>
        </w:rPr>
        <w:t>加强事故现场的监测，根据现场动态监测信息，组织专家调整救援行动方案。</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应急保障：</w:t>
      </w:r>
      <w:r>
        <w:rPr>
          <w:rFonts w:hint="eastAsia" w:ascii="仿宋_GB2312" w:hAnsi="仿宋_GB2312" w:eastAsia="仿宋_GB2312" w:cs="仿宋_GB2312"/>
          <w:sz w:val="32"/>
          <w:szCs w:val="32"/>
        </w:rPr>
        <w:t>抢修被损坏的交通、通信、供水、排水、供电、供气、供热等公共设施，向受到危害的人员提供避难场所和生活必需品以及其他保障措施。</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洗消和现场清理：</w:t>
      </w:r>
      <w:r>
        <w:rPr>
          <w:rFonts w:hint="eastAsia" w:ascii="仿宋_GB2312" w:hAnsi="仿宋_GB2312" w:eastAsia="仿宋_GB2312" w:cs="仿宋_GB2312"/>
          <w:sz w:val="32"/>
          <w:szCs w:val="32"/>
        </w:rPr>
        <w:t>在危险区与安全区交界处设立洗消站，并根据有害物质的品种使用相应的洗消药剂，对所有染毒人员及工具、装备进行洗消。事故现场各处残留的有毒有害气体应彻底清除，泄漏液体、固体应统一收集处理，洗消污水应集中净化处理，严禁直接外排。</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其他注意事项：</w:t>
      </w:r>
      <w:r>
        <w:rPr>
          <w:rFonts w:hint="eastAsia" w:ascii="仿宋_GB2312" w:hAnsi="仿宋_GB2312" w:eastAsia="仿宋_GB2312" w:cs="仿宋_GB2312"/>
          <w:sz w:val="32"/>
          <w:szCs w:val="32"/>
        </w:rPr>
        <w:t>在易燃易爆危险化学品事故现场，应禁止或限制使用能产生静电、火花的有关设备、设施，关闭或者限制使用有关场所，中止人员密集的活动或者可能导致危害扩大的生产经营活动以及采取其他保护措施。</w:t>
      </w:r>
    </w:p>
    <w:p>
      <w:pPr>
        <w:pageBreakBefore w:val="0"/>
        <w:kinsoku/>
        <w:wordWrap/>
        <w:overflowPunct/>
        <w:topLinePunct w:val="0"/>
        <w:autoSpaceDE/>
        <w:autoSpaceDN/>
        <w:bidi w:val="0"/>
        <w:adjustRightInd/>
        <w:snapToGrid/>
        <w:spacing w:after="0" w:line="560" w:lineRule="exact"/>
        <w:textAlignment w:val="auto"/>
        <w:rPr>
          <w:rFonts w:hint="eastAsia" w:ascii="楷体_GB2312" w:hAnsi="楷体_GB2312" w:eastAsia="楷体_GB2312" w:cs="楷体_GB2312"/>
          <w:b w:val="0"/>
          <w:bCs w:val="0"/>
          <w:sz w:val="32"/>
          <w:szCs w:val="32"/>
        </w:rPr>
      </w:pPr>
      <w:bookmarkStart w:id="154" w:name="_Toc28422"/>
      <w:bookmarkStart w:id="155" w:name="_Toc19078"/>
      <w:bookmarkStart w:id="156" w:name="_Toc351050367"/>
      <w:bookmarkStart w:id="157" w:name="_Toc19196"/>
      <w:bookmarkStart w:id="158" w:name="_Toc17549"/>
      <w:bookmarkStart w:id="159" w:name="_Toc8257"/>
      <w:bookmarkStart w:id="160" w:name="_Toc12237"/>
      <w:r>
        <w:rPr>
          <w:rFonts w:hint="eastAsia" w:ascii="楷体_GB2312" w:hAnsi="楷体_GB2312" w:eastAsia="楷体_GB2312" w:cs="楷体_GB2312"/>
          <w:b w:val="0"/>
          <w:bCs w:val="0"/>
          <w:sz w:val="32"/>
          <w:szCs w:val="32"/>
        </w:rPr>
        <w:t>5.3.3</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rPr>
        <w:t>不同类型事故现场处置工作重点</w:t>
      </w:r>
      <w:bookmarkEnd w:id="154"/>
      <w:bookmarkEnd w:id="155"/>
      <w:bookmarkEnd w:id="156"/>
      <w:bookmarkEnd w:id="157"/>
      <w:bookmarkEnd w:id="158"/>
      <w:bookmarkEnd w:id="159"/>
      <w:bookmarkEnd w:id="160"/>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textAlignment w:val="auto"/>
        <w:rPr>
          <w:rFonts w:hint="eastAsia" w:ascii="宋体" w:hAnsi="宋体"/>
          <w:sz w:val="28"/>
          <w:szCs w:val="28"/>
        </w:rPr>
      </w:pPr>
      <w:bookmarkStart w:id="161" w:name="_Toc278957029"/>
      <w:r>
        <w:rPr>
          <w:rFonts w:hint="eastAsia" w:ascii="仿宋_GB2312" w:hAnsi="仿宋_GB2312" w:eastAsia="仿宋_GB2312" w:cs="仿宋_GB2312"/>
          <w:sz w:val="32"/>
          <w:szCs w:val="32"/>
        </w:rPr>
        <w:t>根据危险化学品生产安全事故可能造成的后果，将危险化学品生产安全事故分为：火灾</w:t>
      </w:r>
      <w:r>
        <w:rPr>
          <w:rFonts w:hint="eastAsia" w:ascii="仿宋_GB2312" w:hAnsi="仿宋_GB2312" w:eastAsia="仿宋_GB2312" w:cs="仿宋_GB2312"/>
          <w:sz w:val="32"/>
          <w:szCs w:val="32"/>
          <w:lang w:val="en-US"/>
        </w:rPr>
        <w:t>事故</w:t>
      </w:r>
      <w:r>
        <w:rPr>
          <w:rFonts w:hint="eastAsia" w:ascii="仿宋_GB2312" w:hAnsi="仿宋_GB2312" w:eastAsia="仿宋_GB2312" w:cs="仿宋_GB2312"/>
          <w:sz w:val="32"/>
          <w:szCs w:val="32"/>
        </w:rPr>
        <w:t>、爆炸</w:t>
      </w:r>
      <w:r>
        <w:rPr>
          <w:rFonts w:hint="eastAsia" w:ascii="仿宋_GB2312" w:hAnsi="仿宋_GB2312" w:eastAsia="仿宋_GB2312" w:cs="仿宋_GB2312"/>
          <w:sz w:val="32"/>
          <w:szCs w:val="32"/>
          <w:lang w:val="en-US"/>
        </w:rPr>
        <w:t>事故</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rPr>
        <w:t>中毒和窒息事故、灼烫事故、危险化学品</w:t>
      </w:r>
      <w:r>
        <w:rPr>
          <w:rFonts w:hint="eastAsia" w:ascii="仿宋_GB2312" w:hAnsi="仿宋_GB2312" w:eastAsia="仿宋_GB2312" w:cs="仿宋_GB2312"/>
          <w:sz w:val="32"/>
          <w:szCs w:val="32"/>
        </w:rPr>
        <w:t>泄漏</w:t>
      </w:r>
      <w:r>
        <w:rPr>
          <w:rFonts w:hint="eastAsia" w:ascii="仿宋_GB2312" w:hAnsi="仿宋_GB2312" w:eastAsia="仿宋_GB2312" w:cs="仿宋_GB2312"/>
          <w:sz w:val="32"/>
          <w:szCs w:val="32"/>
          <w:lang w:val="en-US"/>
        </w:rPr>
        <w:t>事故</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火灾事故现场处置要点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根据火灾发生位置、危险化学品性质及火势扩大的可能性，综合考虑火灾发生区域的周围环境及火灾可能对周边的影响，确定警戒范围。治安疏导组隔离外围群众、疏散警戒范围内的群众，疏散过程中应注意群众的个体防护，并禁止无关人员接近或进入现场，提前引导无关车辆绕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调集相应的综合性应急救援队伍、专业应急救援队伍、驻地部队、专家等救援力量赶赴现场。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制订灭火方案。区消防救援支队组织事发单位、专家及各应急救援小组制订灭火方案。制订灭火方案时应根据化学品的性质选用合适的灭火剂及灭火方法。</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实施灭火：注意配备必要的个体防护装备（防热辐射、防烟等），出现意外情况时，立即撤离。</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现场监测：注意风向变化对火势的影响。</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现场指挥部根据现场事态的发展及时调整救援方案，并及时将现场情况报应急指挥部。</w:t>
      </w:r>
    </w:p>
    <w:p>
      <w:pPr>
        <w:keepNext w:val="0"/>
        <w:keepLines w:val="0"/>
        <w:pageBreakBefore w:val="0"/>
        <w:widowControl/>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爆炸事故现场处置要点</w:t>
      </w:r>
    </w:p>
    <w:bookmarkEnd w:id="161"/>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首先确定爆炸发生位置、引起爆炸的物质类别及爆炸类型（物理爆炸、化学爆炸），初步判断是否存在二次爆炸的可能性。物理爆炸则重点关注爆炸装置的工作温度、压力及相邻装置的运行情况，谨防相邻装置二次爆炸；化学爆炸，则须关注现场点火源的情况。</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治安疏导组确定警戒范围，隔离外围群众、疏散警戒范围内的群众，禁止无关人员进入现场，提前引导无关车辆绕行。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如有易燃物质则应注意消除火源。在警戒区内停电、停火，消除可能引发火灾和爆炸的火源。</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危险化学品抢险救灾组在进入危险区前宜用水枪将地面喷湿，防止摩擦、撞击产生火花，要特别注意避免泄漏的易燃液体随水流扩散。</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调集相应的综合性应急救援队伍、专业应急救援队伍、驻地部队、专家等救援力量赶赴现场。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技术专家组根据现场可燃气体浓度及爆炸源的情况确定是否有二次爆炸的危险，确定应采取的处置措施。制订救援方案并组织实施。</w:t>
      </w:r>
    </w:p>
    <w:p>
      <w:pPr>
        <w:keepNext w:val="0"/>
        <w:keepLines w:val="0"/>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现场指挥部根据现场事态的发展及时调整救援方案，并及时将现场情况报应急指挥部。</w:t>
      </w:r>
    </w:p>
    <w:p>
      <w:pPr>
        <w:pageBreakBefore w:val="0"/>
        <w:kinsoku/>
        <w:wordWrap/>
        <w:overflowPunct/>
        <w:topLinePunct w:val="0"/>
        <w:autoSpaceDE/>
        <w:autoSpaceDN/>
        <w:bidi w:val="0"/>
        <w:adjustRightInd/>
        <w:snapToGrid/>
        <w:spacing w:after="0" w:line="560" w:lineRule="exact"/>
        <w:ind w:firstLine="643" w:firstLineChars="200"/>
        <w:textAlignment w:val="auto"/>
        <w:rPr>
          <w:rFonts w:hint="eastAsia" w:ascii="仿宋_GB2312" w:hAnsi="仿宋_GB2312" w:eastAsia="仿宋_GB2312" w:cs="仿宋_GB2312"/>
          <w:b/>
          <w:bCs/>
          <w:sz w:val="32"/>
          <w:szCs w:val="32"/>
        </w:rPr>
      </w:pPr>
      <w:bookmarkStart w:id="162" w:name="_Toc278957031"/>
      <w:r>
        <w:rPr>
          <w:rFonts w:hint="eastAsia" w:ascii="仿宋_GB2312" w:hAnsi="仿宋_GB2312" w:eastAsia="仿宋_GB2312" w:cs="仿宋_GB2312"/>
          <w:b/>
          <w:bCs/>
          <w:sz w:val="32"/>
          <w:szCs w:val="32"/>
        </w:rPr>
        <w:t>易燃、易爆</w:t>
      </w:r>
      <w:r>
        <w:rPr>
          <w:rFonts w:hint="eastAsia" w:ascii="仿宋_GB2312" w:hAnsi="仿宋_GB2312" w:eastAsia="仿宋_GB2312" w:cs="仿宋_GB2312"/>
          <w:b/>
          <w:bCs/>
          <w:sz w:val="32"/>
          <w:szCs w:val="32"/>
          <w:lang w:val="en-US"/>
        </w:rPr>
        <w:t>危险化学品</w:t>
      </w:r>
      <w:r>
        <w:rPr>
          <w:rFonts w:hint="eastAsia" w:ascii="仿宋_GB2312" w:hAnsi="仿宋_GB2312" w:eastAsia="仿宋_GB2312" w:cs="仿宋_GB2312"/>
          <w:b/>
          <w:bCs/>
          <w:sz w:val="32"/>
          <w:szCs w:val="32"/>
        </w:rPr>
        <w:t>泄漏事故现场处置要点</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确定泄漏的危险化学品种类及性质（主要是沸点、闪点、爆炸极限等）、泄漏源的位置及泄漏现场点火源情况。</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确定警戒范围。治安疏导组负责隔离外围群众、疏散警戒范围内的群众，疏散过程中应注意群众的个体防护，设立警戒标志，禁止无关人员进入现场，交警部门注意提前引导无关车辆绕行。</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调集相应的综合性应急救援队伍、专业应急救援队伍、驻地部队、专家等救援力量赶赴现场。</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现场指挥部确定泄漏源的周围环境（环境功能区、人口密度等），明确周围区域存在的重大危险源分布情况。</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环境气象监测组检测泄漏物质是否进入大气、附近水源、下水道等场所；加强现场大气、土壤、气象信息等监测,明确泄漏危及周围环境的可能性。</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技术专家组根据事故现场实际或估算的泄漏量确定泄漏时间或预计持续时间，预测泄漏扩散趋势。确定主要的控制措施（如堵漏、工程抢险、人员疏散、医疗救护等）。制订应急救援方案并组织实施。</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各应急工作组实施救援方案，危险化学品抢险救灾组进入现场控制泄漏源，抢救泄漏设备。出现意外情况，立即撤离。</w:t>
      </w:r>
    </w:p>
    <w:p>
      <w:pPr>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现场指挥部根据现场事态的发展及时调整救援方案，并及时将现场情况报应急指挥部。</w:t>
      </w:r>
    </w:p>
    <w:p>
      <w:pPr>
        <w:keepNext w:val="0"/>
        <w:keepLines w:val="0"/>
        <w:pageBreakBefore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有毒</w:t>
      </w:r>
      <w:r>
        <w:rPr>
          <w:rFonts w:hint="eastAsia" w:ascii="仿宋_GB2312" w:hAnsi="仿宋_GB2312" w:eastAsia="仿宋_GB2312" w:cs="仿宋_GB2312"/>
          <w:b/>
          <w:bCs/>
          <w:sz w:val="32"/>
          <w:szCs w:val="32"/>
          <w:lang w:val="en-US"/>
        </w:rPr>
        <w:t>危险化学品</w:t>
      </w:r>
      <w:r>
        <w:rPr>
          <w:rFonts w:hint="eastAsia" w:ascii="仿宋_GB2312" w:hAnsi="仿宋_GB2312" w:eastAsia="仿宋_GB2312" w:cs="仿宋_GB2312"/>
          <w:b/>
          <w:bCs/>
          <w:sz w:val="32"/>
          <w:szCs w:val="32"/>
        </w:rPr>
        <w:t>泄漏事故现场处置</w:t>
      </w:r>
      <w:bookmarkEnd w:id="162"/>
      <w:r>
        <w:rPr>
          <w:rFonts w:hint="eastAsia" w:ascii="仿宋_GB2312" w:hAnsi="仿宋_GB2312" w:eastAsia="仿宋_GB2312" w:cs="仿宋_GB2312"/>
          <w:b/>
          <w:bCs/>
          <w:sz w:val="32"/>
          <w:szCs w:val="32"/>
        </w:rPr>
        <w:t>要点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163" w:name="_Toc246775305"/>
      <w:bookmarkStart w:id="164" w:name="_Toc32210"/>
      <w:bookmarkStart w:id="165" w:name="_Toc25843"/>
      <w:bookmarkStart w:id="166" w:name="_Toc13219"/>
      <w:bookmarkStart w:id="167" w:name="_Toc31106"/>
      <w:bookmarkStart w:id="168" w:name="_Toc351050368"/>
      <w:bookmarkStart w:id="169" w:name="_Toc8059"/>
      <w:bookmarkStart w:id="170" w:name="_Toc30538"/>
      <w:bookmarkStart w:id="171" w:name="_Toc24321"/>
      <w:bookmarkStart w:id="172" w:name="_Toc266449036"/>
      <w:r>
        <w:rPr>
          <w:rFonts w:hint="eastAsia" w:ascii="仿宋_GB2312" w:hAnsi="仿宋_GB2312" w:eastAsia="仿宋_GB2312" w:cs="仿宋_GB2312"/>
          <w:sz w:val="32"/>
          <w:szCs w:val="32"/>
          <w:lang w:val="en-US"/>
        </w:rPr>
        <w:t>立刻进行疏散。现场指挥部应根据泄漏的危险化学品种类及泄漏源的位置，并考虑风速风向、泄漏量、周围环境等。</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确定警戒范围，警戒范围宜大不宜小。治安疏导组尽快疏散警戒范围内的群众，疏散过程中应注意群众的个体防护。</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调集医疗急救力量赶赴现场。调集所需的综合性应急救援队伍、专业应急救援队伍、驻地部队、专家等救援力量赶赴现场。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检测泄漏物质是否进入大气、附近水源、下水道等场所；加强现场大气、土壤、气象信息等监测，明确泄漏危及周围环境的可能性。</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技术专家组根据企业提供的情况及现场监测的实际或估算的泄漏量，确定泄漏时间或预计持续时间。确定应急救援方案，实施救援。</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根据现场事态的发展及时调整救援方案，并及时将现场情况报应急指挥部。</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73" w:name="_Toc10586"/>
      <w:bookmarkStart w:id="174" w:name="_Toc18023"/>
      <w:r>
        <w:rPr>
          <w:rFonts w:hint="eastAsia" w:ascii="黑体" w:hAnsi="黑体" w:eastAsia="黑体" w:cs="黑体"/>
          <w:b w:val="0"/>
          <w:bCs/>
          <w:kern w:val="2"/>
          <w:sz w:val="32"/>
          <w:szCs w:val="24"/>
          <w:lang w:val="en-US" w:eastAsia="zh-CN"/>
        </w:rPr>
        <w:t>5.4 响应升级</w:t>
      </w:r>
      <w:bookmarkEnd w:id="173"/>
      <w:bookmarkEnd w:id="174"/>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因危险化学品生产安全事故次生或衍生出其他突发事件，已经采取的应急措施不足以控制事态发展，需由其他专项应急指挥部、多个部门（单位）增援参与应急处置的，应急指挥部应及时报告上级部门，扩大响应级别，启动更高一级层面应急响应。</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如果预计危险化学品生产安全事故将要波及周边城市或地区的，应以区政府的名义报送市政府，请求协调周边城市启动应急联动机制。</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cs="Arial"/>
          <w:sz w:val="28"/>
          <w:szCs w:val="28"/>
          <w:lang w:val="en-US"/>
        </w:rPr>
      </w:pPr>
      <w:r>
        <w:rPr>
          <w:rFonts w:hint="eastAsia" w:ascii="仿宋_GB2312" w:hAnsi="仿宋_GB2312" w:eastAsia="仿宋_GB2312" w:cs="仿宋_GB2312"/>
          <w:sz w:val="32"/>
          <w:szCs w:val="32"/>
          <w:lang w:val="en-US"/>
        </w:rPr>
        <w:t>当危险化学品生产安全事故造成的危害程度超出本区应急处置能力，需要上级相关应急力量提供援助和支持的，由应急指挥部报请区委、区政府协调相关资源和力量参与事故处置。</w:t>
      </w:r>
    </w:p>
    <w:p>
      <w:pPr>
        <w:pStyle w:val="4"/>
        <w:keepNext/>
        <w:keepLines/>
        <w:pageBreakBefore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75" w:name="_Toc15281"/>
      <w:r>
        <w:rPr>
          <w:rFonts w:hint="eastAsia" w:ascii="黑体" w:hAnsi="黑体" w:eastAsia="黑体" w:cs="黑体"/>
          <w:b w:val="0"/>
          <w:bCs/>
          <w:kern w:val="2"/>
          <w:sz w:val="32"/>
          <w:szCs w:val="24"/>
          <w:lang w:val="en-US" w:eastAsia="zh-CN"/>
        </w:rPr>
        <w:t>5.</w:t>
      </w:r>
      <w:bookmarkEnd w:id="163"/>
      <w:r>
        <w:rPr>
          <w:rFonts w:hint="eastAsia" w:ascii="黑体" w:hAnsi="黑体" w:eastAsia="黑体" w:cs="黑体"/>
          <w:b w:val="0"/>
          <w:bCs/>
          <w:kern w:val="2"/>
          <w:sz w:val="32"/>
          <w:szCs w:val="24"/>
          <w:lang w:val="en-US" w:eastAsia="zh-CN"/>
        </w:rPr>
        <w:t>5 信息发布</w:t>
      </w:r>
      <w:bookmarkEnd w:id="164"/>
      <w:bookmarkEnd w:id="165"/>
      <w:bookmarkEnd w:id="166"/>
      <w:bookmarkEnd w:id="167"/>
      <w:bookmarkEnd w:id="168"/>
      <w:bookmarkEnd w:id="169"/>
      <w:bookmarkEnd w:id="170"/>
      <w:bookmarkEnd w:id="171"/>
      <w:bookmarkEnd w:id="172"/>
      <w:bookmarkEnd w:id="175"/>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事故发生地的地方政府应及时、准确发布危险化学品生产安全事故信息，实时掌握社会舆论动向，主动、正确引导社会舆论，维护公众知情权。</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对于跨地区、涉及部门较多、影响较大的事故，可由区宣传部门协调主流媒体对事故信息进行及时发布，总指挥部办公室予以配合。</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水路运输事故应急救援情况需要向社会通报时，由水路安全监管部门负责。</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铁路运输事故应急救援情况需要向社会通报时，由铁路安全监管部门负责。</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76" w:name="_Toc16811"/>
      <w:bookmarkStart w:id="177" w:name="_Toc16970"/>
      <w:bookmarkStart w:id="178" w:name="_Toc27087"/>
      <w:bookmarkStart w:id="179" w:name="_Toc9166"/>
      <w:bookmarkStart w:id="180" w:name="_Toc14396"/>
      <w:bookmarkStart w:id="181" w:name="_Toc351050369"/>
      <w:bookmarkStart w:id="182" w:name="_Toc2083"/>
      <w:bookmarkStart w:id="183" w:name="_Toc19286"/>
      <w:bookmarkStart w:id="184" w:name="_Toc21558"/>
      <w:r>
        <w:rPr>
          <w:rFonts w:hint="eastAsia" w:ascii="黑体" w:hAnsi="黑体" w:eastAsia="黑体" w:cs="黑体"/>
          <w:b w:val="0"/>
          <w:bCs/>
          <w:kern w:val="2"/>
          <w:sz w:val="32"/>
          <w:szCs w:val="24"/>
          <w:lang w:val="en-US" w:eastAsia="zh-CN"/>
        </w:rPr>
        <w:t>5.6 应急结束</w:t>
      </w:r>
      <w:bookmarkEnd w:id="176"/>
      <w:bookmarkEnd w:id="177"/>
      <w:bookmarkEnd w:id="178"/>
      <w:bookmarkEnd w:id="179"/>
      <w:bookmarkEnd w:id="180"/>
      <w:bookmarkEnd w:id="181"/>
      <w:bookmarkEnd w:id="182"/>
      <w:bookmarkEnd w:id="183"/>
      <w:bookmarkEnd w:id="184"/>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当事故现场得以控制，遇险人员得到解救，事故伤亡情况已核实清楚，环境监测符合有关标准，导致次生、衍生事故隐患消除后，现场应急处置工作即告结束。现场指挥部根据事故现场处置情况及专家组评估建议，报告应急指挥部批准后，由现场指挥部宣布应急结束，应急救援队伍撤离现场。</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应急救援工作结束后，参加救援的部门和单位应认真核对参加应急救援人数，清点救援装备、器材。</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应急结束后，应急指挥部应将情况及时通知参与事故处置的各相关单位，必要时还应通过广播电台、电视台等新闻媒体向社会发布应急结束信息。</w:t>
      </w:r>
    </w:p>
    <w:p>
      <w:pPr>
        <w:keepNext w:val="0"/>
        <w:keepLines w:val="0"/>
        <w:pageBreakBefore w:val="0"/>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cs="Arial"/>
          <w:sz w:val="28"/>
          <w:szCs w:val="28"/>
          <w:lang w:val="en-US"/>
        </w:rPr>
      </w:pPr>
      <w:r>
        <w:rPr>
          <w:rFonts w:hint="eastAsia" w:ascii="仿宋_GB2312" w:hAnsi="仿宋_GB2312" w:eastAsia="仿宋_GB2312" w:cs="仿宋_GB2312"/>
          <w:sz w:val="32"/>
          <w:szCs w:val="32"/>
          <w:lang w:val="en-US"/>
        </w:rPr>
        <w:t>事故现场处置工作完成后，现场指挥部组织完成应急救援总结报告，报送区应急指挥部。</w:t>
      </w: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185" w:name="_Toc30700"/>
      <w:r>
        <w:rPr>
          <w:rStyle w:val="26"/>
          <w:rFonts w:hint="eastAsia" w:ascii="方正小标宋_GBK" w:hAnsi="方正小标宋_GBK" w:eastAsia="方正小标宋_GBK" w:cs="方正小标宋_GBK"/>
          <w:b w:val="0"/>
          <w:bCs/>
          <w:sz w:val="44"/>
          <w:szCs w:val="44"/>
          <w:lang w:val="en-US" w:eastAsia="zh-CN" w:bidi="ar"/>
        </w:rPr>
        <w:t>6 后期处置</w:t>
      </w:r>
      <w:bookmarkEnd w:id="185"/>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86" w:name="_Toc421"/>
      <w:bookmarkStart w:id="187" w:name="_Toc8480"/>
      <w:r>
        <w:rPr>
          <w:rFonts w:hint="eastAsia" w:ascii="黑体" w:hAnsi="黑体" w:eastAsia="黑体" w:cs="黑体"/>
          <w:b w:val="0"/>
          <w:bCs/>
          <w:kern w:val="2"/>
          <w:sz w:val="32"/>
          <w:szCs w:val="24"/>
          <w:lang w:val="en-US" w:eastAsia="zh-CN"/>
        </w:rPr>
        <w:t>6.1 善后处置</w:t>
      </w:r>
      <w:bookmarkEnd w:id="186"/>
      <w:bookmarkEnd w:id="187"/>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事故牵头处置部门负责牵头处置事故善后工作，应当根据遭受损失的情况，制订和实施救助、补偿、抚慰、抚恤、安置等善后工作方案。对危险化学品生产安全事故中的伤亡人员、应急处置工作人员应按照规定给予抚恤、抚慰、补助。对紧急调集、征用有关单位和个人的物资、设备、设施、工具，应按照规定给予补助和补偿。根据工作需要，提供心理咨询辅导和司法援助，预防和妥善解决因处置危险化学品生产安全事故引发的矛盾和纠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cs="Arial"/>
          <w:sz w:val="28"/>
          <w:szCs w:val="28"/>
          <w:lang w:val="en-US"/>
        </w:rPr>
      </w:pPr>
      <w:r>
        <w:rPr>
          <w:rFonts w:hint="eastAsia" w:ascii="仿宋_GB2312" w:hAnsi="仿宋_GB2312" w:eastAsia="仿宋_GB2312" w:cs="仿宋_GB2312"/>
          <w:sz w:val="32"/>
          <w:szCs w:val="32"/>
          <w:lang w:val="en-US"/>
        </w:rPr>
        <w:t>属地政府组织做好现场污染物清理、环境污染消除、疫病防治、灾后重建等工作，尽快恢复正常秩序，消除事故后果和影响，确保社会稳定。</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88" w:name="_Toc22632"/>
      <w:bookmarkStart w:id="189" w:name="_Toc4061"/>
      <w:r>
        <w:rPr>
          <w:rFonts w:hint="eastAsia" w:ascii="黑体" w:hAnsi="黑体" w:eastAsia="黑体" w:cs="黑体"/>
          <w:b w:val="0"/>
          <w:bCs/>
          <w:kern w:val="2"/>
          <w:sz w:val="32"/>
          <w:szCs w:val="24"/>
          <w:lang w:val="en-US" w:eastAsia="zh-CN"/>
        </w:rPr>
        <w:t>6.2 社会救助</w:t>
      </w:r>
      <w:bookmarkEnd w:id="188"/>
      <w:bookmarkEnd w:id="189"/>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民政部门负责做好社会救助工作，按照政府救济和社会救济相结合的原则，保障困难群众的基本生活。</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红十字会、慈善会等人民团体、社会公益型团体和组织，依据有关法律法规和相关规定，开展互助互济和救灾捐赠活动。</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90" w:name="_Toc9236"/>
      <w:bookmarkStart w:id="191" w:name="_Toc1341"/>
      <w:r>
        <w:rPr>
          <w:rFonts w:hint="eastAsia" w:ascii="黑体" w:hAnsi="黑体" w:eastAsia="黑体" w:cs="黑体"/>
          <w:b w:val="0"/>
          <w:bCs/>
          <w:kern w:val="2"/>
          <w:sz w:val="32"/>
          <w:szCs w:val="24"/>
          <w:lang w:val="en-US" w:eastAsia="zh-CN"/>
        </w:rPr>
        <w:t>6.3 保险</w:t>
      </w:r>
      <w:bookmarkEnd w:id="190"/>
      <w:bookmarkEnd w:id="191"/>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应急指挥部、各有关部门应当为专业应急救援人员购买人身意外伤害保险。危险化学品生产、经营、储存企业及涉及使用环节重点企业应按照省、市有关规定投保安全生产责任保险。</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保险公司开展产品和服务创新，针对不同群体和人员的需求，开发保额适度、保障层次多样、服务便捷的险种，扩大灾害保险的覆盖面和服务范围，增强企事业单位和公民抵御事故的能力，形成全社会共担风险机制。</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鼓励从事高风险活动的企业购买财产保险，并为其员工购买人身意外保险；鼓励保险行业开展事故风险管理研究，建立事故信息数据库，形成有效的信息共享机制。</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92" w:name="_Toc7797"/>
      <w:bookmarkStart w:id="193" w:name="_Toc20529"/>
      <w:r>
        <w:rPr>
          <w:rFonts w:hint="eastAsia" w:ascii="黑体" w:hAnsi="黑体" w:eastAsia="黑体" w:cs="黑体"/>
          <w:b w:val="0"/>
          <w:bCs/>
          <w:kern w:val="2"/>
          <w:sz w:val="32"/>
          <w:szCs w:val="24"/>
          <w:lang w:val="en-US" w:eastAsia="zh-CN"/>
        </w:rPr>
        <w:t>6.4 调查评估</w:t>
      </w:r>
      <w:bookmarkEnd w:id="192"/>
      <w:bookmarkEnd w:id="193"/>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发生重大、特别重大危险化学品生产安全事故，分别由省政府、国务院组织事故调查，区政府各有关部门密切配合，积极落实上级调查组提出的改进意见，认真汲取事故教训。</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发生较大危险化学品生产安全事故，由市政府组织事故调查，区政府各有关部门密切配合，积极落实上级调查组提出的改进意见，认真汲取事故教训。</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发生一般危险化学品生产安全事故，由区人民政府直接组成调查组或者授权有关部门组成调查组开展事故调查。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cs="Arial"/>
          <w:sz w:val="28"/>
          <w:szCs w:val="28"/>
        </w:rPr>
      </w:pPr>
      <w:r>
        <w:rPr>
          <w:rFonts w:hint="eastAsia" w:ascii="仿宋_GB2312" w:hAnsi="仿宋_GB2312" w:eastAsia="仿宋_GB2312" w:cs="仿宋_GB2312"/>
          <w:sz w:val="32"/>
          <w:szCs w:val="32"/>
        </w:rPr>
        <w:t>危险化学品生产安全事故善后处置工作结束后，现场指挥部分析总结应急救援经验教训，提出改进应急救援工作的建议，完成应急救援评估报告报送区政府。根据现场指挥部提交的应急救援评估报告，应急指挥部办公室组织分析、研究，提出改进应急工作的意见，并抄送有关部门。</w:t>
      </w:r>
      <w:bookmarkStart w:id="194" w:name="_Toc13162"/>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95" w:name="_Toc6769"/>
      <w:r>
        <w:rPr>
          <w:rFonts w:hint="eastAsia" w:ascii="黑体" w:hAnsi="黑体" w:eastAsia="黑体" w:cs="黑体"/>
          <w:b w:val="0"/>
          <w:bCs/>
          <w:kern w:val="2"/>
          <w:sz w:val="32"/>
          <w:szCs w:val="24"/>
          <w:lang w:val="en-US" w:eastAsia="zh-CN"/>
        </w:rPr>
        <w:t>6.5 恢复与重建</w:t>
      </w:r>
      <w:bookmarkEnd w:id="194"/>
      <w:bookmarkEnd w:id="195"/>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cs="Arial"/>
          <w:sz w:val="28"/>
          <w:szCs w:val="28"/>
          <w:lang w:val="en-US"/>
        </w:rPr>
      </w:pPr>
      <w:r>
        <w:rPr>
          <w:rFonts w:hint="eastAsia" w:ascii="仿宋_GB2312" w:hAnsi="仿宋_GB2312" w:eastAsia="仿宋_GB2312" w:cs="仿宋_GB2312"/>
          <w:sz w:val="32"/>
          <w:szCs w:val="32"/>
          <w:lang w:val="en-US"/>
        </w:rPr>
        <w:t>危险化学品生产安全事故处置工作结束后，区应急指挥部联合当地政府结合调查评估情况，立即组织制订恢复与重建计划，及时恢复社会秩序，修复被破坏的城市运行、生产经营等基础设施。</w:t>
      </w:r>
    </w:p>
    <w:p>
      <w:pPr>
        <w:ind w:firstLine="560" w:firstLineChars="200"/>
        <w:rPr>
          <w:rFonts w:hint="eastAsia" w:cs="Arial"/>
          <w:sz w:val="28"/>
          <w:szCs w:val="28"/>
          <w:lang w:val="en-US"/>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196" w:name="_Toc29825"/>
      <w:bookmarkStart w:id="197" w:name="_Toc8451"/>
      <w:r>
        <w:rPr>
          <w:rStyle w:val="26"/>
          <w:rFonts w:hint="eastAsia" w:ascii="方正小标宋_GBK" w:hAnsi="方正小标宋_GBK" w:eastAsia="方正小标宋_GBK" w:cs="方正小标宋_GBK"/>
          <w:b w:val="0"/>
          <w:bCs/>
          <w:sz w:val="44"/>
          <w:szCs w:val="44"/>
          <w:lang w:val="en-US" w:eastAsia="zh-CN" w:bidi="ar"/>
        </w:rPr>
        <w:t>7 应急保障</w:t>
      </w:r>
      <w:bookmarkEnd w:id="196"/>
      <w:bookmarkEnd w:id="197"/>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198" w:name="_Toc3421"/>
      <w:bookmarkStart w:id="199" w:name="_Toc24049"/>
      <w:bookmarkStart w:id="200" w:name="_Toc19834"/>
      <w:bookmarkStart w:id="201" w:name="_Toc18933"/>
      <w:bookmarkStart w:id="202" w:name="_Toc25855"/>
      <w:bookmarkStart w:id="203" w:name="_Toc20120"/>
      <w:bookmarkStart w:id="204" w:name="_Toc11146"/>
      <w:bookmarkStart w:id="205" w:name="_Toc27416"/>
      <w:r>
        <w:rPr>
          <w:rFonts w:hint="eastAsia" w:ascii="黑体" w:hAnsi="黑体" w:eastAsia="黑体" w:cs="黑体"/>
          <w:b w:val="0"/>
          <w:bCs/>
          <w:kern w:val="2"/>
          <w:sz w:val="32"/>
          <w:szCs w:val="24"/>
          <w:lang w:val="en-US" w:eastAsia="zh-CN"/>
        </w:rPr>
        <w:t>7.1 人力资源保障</w:t>
      </w:r>
      <w:bookmarkEnd w:id="198"/>
      <w:bookmarkEnd w:id="199"/>
      <w:bookmarkEnd w:id="200"/>
      <w:bookmarkEnd w:id="201"/>
      <w:bookmarkEnd w:id="202"/>
      <w:bookmarkEnd w:id="203"/>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（1）综合应急救援队伍。依托现役消防队伍，建立区、街道、企业三级综合应急救援队伍，承担危险化学品生产安全事故应急救援任务。</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业应急救援队伍。区应急管理局牵头组建危险化学品专业应急救援队伍，其他各专项应急指挥部、有关部门（单位）负责组建和管理本领域专业应急救援队伍，会同综合应急救援队伍承担危险化学品生产安全事故应急救援任务。</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社会应急救援力量。鼓励社会团体、企事业单位、基层群众自治组织以及志愿者等参与危险化学品生产安全事故应急救援工作。组织有相关知识、经验和资质的志愿者成立应急志愿者队伍，参与防灾避险、疏散安置、急救技能等应急救援知识的宣传、教育和普及工作，参与危险化学品生产安全事故的信息报告、抢险救援、卫生防疫、群众安置、设施抢修和心理疏导等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（4）应急专家。应急指挥部办公室牵头，各相关部门配合，根据应急工作需要组建危险化学品应急救援专家组，为应急抢险救援行动的决策、指挥、处置办法提供技术支持。</w:t>
      </w:r>
    </w:p>
    <w:bookmarkEnd w:id="204"/>
    <w:bookmarkEnd w:id="205"/>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06" w:name="_Toc22916"/>
      <w:bookmarkStart w:id="207" w:name="_Toc15677"/>
      <w:bookmarkStart w:id="208" w:name="_Toc21410"/>
      <w:bookmarkStart w:id="209" w:name="_Toc27459"/>
      <w:bookmarkStart w:id="210" w:name="_Toc13377"/>
      <w:bookmarkStart w:id="211" w:name="_Toc13806"/>
      <w:r>
        <w:rPr>
          <w:rFonts w:hint="eastAsia" w:ascii="黑体" w:hAnsi="黑体" w:eastAsia="黑体" w:cs="黑体"/>
          <w:b w:val="0"/>
          <w:bCs/>
          <w:kern w:val="2"/>
          <w:sz w:val="32"/>
          <w:szCs w:val="24"/>
          <w:lang w:val="en-US" w:eastAsia="zh-CN"/>
        </w:rPr>
        <w:t>7.2 经费保障</w:t>
      </w:r>
      <w:bookmarkEnd w:id="206"/>
      <w:bookmarkEnd w:id="207"/>
      <w:bookmarkEnd w:id="208"/>
      <w:bookmarkEnd w:id="209"/>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（1）区应急管理局和有关行业主管部门积极申请预防和处置危险化学品生产安全事故所需财政负担的专项经费。</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sz w:val="28"/>
          <w:szCs w:val="28"/>
        </w:rPr>
      </w:pPr>
      <w:r>
        <w:rPr>
          <w:rFonts w:hint="eastAsia" w:ascii="仿宋_GB2312" w:hAnsi="仿宋_GB2312" w:eastAsia="仿宋_GB2312" w:cs="仿宋_GB2312"/>
          <w:sz w:val="32"/>
          <w:szCs w:val="32"/>
        </w:rPr>
        <w:t>（2）鼓励公民、法人和其他组织为应对事故提供资金捐赠和各种形式的支持。</w:t>
      </w:r>
    </w:p>
    <w:bookmarkEnd w:id="210"/>
    <w:bookmarkEnd w:id="211"/>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12" w:name="_Toc15657"/>
      <w:bookmarkStart w:id="213" w:name="_Toc19249"/>
      <w:bookmarkStart w:id="214" w:name="_Toc2143"/>
      <w:bookmarkStart w:id="215" w:name="_Toc5782"/>
      <w:bookmarkStart w:id="216" w:name="_Toc10398"/>
      <w:bookmarkStart w:id="217" w:name="_Toc4483"/>
      <w:r>
        <w:rPr>
          <w:rFonts w:hint="eastAsia" w:ascii="黑体" w:hAnsi="黑体" w:eastAsia="黑体" w:cs="黑体"/>
          <w:b w:val="0"/>
          <w:bCs/>
          <w:kern w:val="2"/>
          <w:sz w:val="32"/>
          <w:szCs w:val="24"/>
          <w:lang w:val="en-US" w:eastAsia="zh-CN"/>
        </w:rPr>
        <w:t>7.3 物资保障</w:t>
      </w:r>
      <w:bookmarkEnd w:id="212"/>
      <w:bookmarkEnd w:id="213"/>
      <w:bookmarkEnd w:id="214"/>
      <w:bookmarkEnd w:id="215"/>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根据辖区内不同区域危险化学品生产安全事故的种类、频率和特点，按照实物储备与商业储备相结合、生产能力与技术储备相结合、政府采购与政府补贴相结合的方式，由区、镇街政府及有关部门分区域、分部门合理储备应急物资。</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sz w:val="28"/>
          <w:szCs w:val="28"/>
        </w:rPr>
      </w:pPr>
      <w:r>
        <w:rPr>
          <w:rFonts w:hint="eastAsia" w:ascii="仿宋_GB2312" w:hAnsi="仿宋_GB2312" w:eastAsia="仿宋_GB2312" w:cs="仿宋_GB2312"/>
          <w:sz w:val="32"/>
          <w:szCs w:val="32"/>
        </w:rPr>
        <w:t>（2）应急指挥部、各有关部门按照“专业管理、专物专用”的原则，自行调拨使用本部门的应急物资。跨部门（单位）调用应急物资时，向区政府提出申请，按有关规定办理。</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18" w:name="_Toc15565"/>
      <w:bookmarkStart w:id="219" w:name="_Toc25785"/>
      <w:bookmarkStart w:id="220" w:name="_Toc18258"/>
      <w:bookmarkStart w:id="221" w:name="_Toc32457"/>
      <w:r>
        <w:rPr>
          <w:rFonts w:hint="eastAsia" w:ascii="黑体" w:hAnsi="黑体" w:eastAsia="黑体" w:cs="黑体"/>
          <w:b w:val="0"/>
          <w:bCs/>
          <w:kern w:val="2"/>
          <w:sz w:val="32"/>
          <w:szCs w:val="24"/>
          <w:lang w:val="en-US" w:eastAsia="zh-CN"/>
        </w:rPr>
        <w:t>7.4 医疗卫生保障</w:t>
      </w:r>
      <w:bookmarkEnd w:id="218"/>
      <w:bookmarkEnd w:id="219"/>
      <w:bookmarkEnd w:id="220"/>
      <w:bookmarkEnd w:id="221"/>
    </w:p>
    <w:bookmarkEnd w:id="216"/>
    <w:bookmarkEnd w:id="217"/>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卫生健康局负责建立和完善全区卫生应急预案体系、卫生应急指挥体系和医疗卫生救援体系，针对危险化学品事故可能造成的健康危害，组建医疗专家队伍和应急医疗救援队伍，储备医疗救治应急物资，开展医疗救援演练和公众自救互救医疗常识宣传教育。</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（2）危险化学品生产、储存、使用、经营、运输和废弃危险化学品处置单位应针对本单位可能发生事故的类别，加强员工自救、互救知识和技能培训，最大限度降低事故造成的人员伤害和健康危害。</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22" w:name="_Toc11215"/>
      <w:bookmarkStart w:id="223" w:name="_Toc31911"/>
      <w:bookmarkStart w:id="224" w:name="_Toc8442"/>
      <w:r>
        <w:rPr>
          <w:rFonts w:hint="eastAsia" w:ascii="黑体" w:hAnsi="黑体" w:eastAsia="黑体" w:cs="黑体"/>
          <w:b w:val="0"/>
          <w:bCs/>
          <w:kern w:val="2"/>
          <w:sz w:val="32"/>
          <w:szCs w:val="24"/>
          <w:lang w:val="en-US" w:eastAsia="zh-CN"/>
        </w:rPr>
        <w:t>7.5 交通运输保障</w:t>
      </w:r>
      <w:bookmarkEnd w:id="222"/>
      <w:bookmarkEnd w:id="223"/>
      <w:bookmarkEnd w:id="224"/>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区交通运输局牵头负责建立健全交通运输应急联动机制，保障紧急情况下的综合运输能力，做好抢险救援车辆在本行政区域内的公路通行服务保障工作。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公安局清城分局牵头负责建立健全应急通行机制，保障紧急情况下应急交通工具的优先安排、优先调度、优先放行，确保应急运输安全畅通，根据应急处置需要，开设应急救援“绿色通道”，对危险化学品事故现场及有关道路实行交通管制，发放应急车辆的应急通行标志。</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道路及交通设施被破坏或毁坏时，区交通管理部门应迅速组织专业应急救援队伍，尽快组织抢修，保障交通线路顺畅。</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25" w:name="_Toc1164"/>
      <w:bookmarkStart w:id="226" w:name="_Toc4230"/>
      <w:bookmarkStart w:id="227" w:name="_Toc14014"/>
      <w:r>
        <w:rPr>
          <w:rFonts w:hint="eastAsia" w:ascii="黑体" w:hAnsi="黑体" w:eastAsia="黑体" w:cs="黑体"/>
          <w:b w:val="0"/>
          <w:bCs/>
          <w:kern w:val="2"/>
          <w:sz w:val="32"/>
          <w:szCs w:val="24"/>
          <w:lang w:val="en-US" w:eastAsia="zh-CN"/>
        </w:rPr>
        <w:t>7.6 治安保障</w:t>
      </w:r>
      <w:bookmarkEnd w:id="225"/>
      <w:bookmarkEnd w:id="226"/>
      <w:bookmarkEnd w:id="227"/>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公安局清城分局应制订应急状态下维持治安秩序的各项方案，包括警力集结、布控、执勤方式和行动措施等，维护危险化学品事故现场秩序及所在区域社会公共秩序，为危险化学品事故应急救援处置及抢险提供保障。</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市公安局清城分局负责组织事故现场治安警戒和治安管理，加强对重点地区、重点场所、重点人群、重要物资设备的防范保护，控制事故肇事人员，维持现场秩序，及时疏散群众。</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28" w:name="_Toc23731"/>
      <w:bookmarkStart w:id="229" w:name="_Toc15717"/>
      <w:bookmarkStart w:id="230" w:name="_Toc27005"/>
      <w:bookmarkStart w:id="231" w:name="_Toc11823"/>
      <w:bookmarkStart w:id="232" w:name="_Toc13446"/>
      <w:bookmarkStart w:id="233" w:name="_Toc2327"/>
      <w:bookmarkStart w:id="234" w:name="_Toc458774530"/>
      <w:r>
        <w:rPr>
          <w:rFonts w:hint="eastAsia" w:ascii="黑体" w:hAnsi="黑体" w:eastAsia="黑体" w:cs="黑体"/>
          <w:b w:val="0"/>
          <w:bCs/>
          <w:kern w:val="2"/>
          <w:sz w:val="32"/>
          <w:szCs w:val="24"/>
          <w:lang w:val="en-US" w:eastAsia="zh-CN"/>
        </w:rPr>
        <w:t>7.7 人员防护保障</w:t>
      </w:r>
      <w:bookmarkEnd w:id="228"/>
      <w:bookmarkEnd w:id="229"/>
      <w:bookmarkEnd w:id="230"/>
      <w:bookmarkEnd w:id="231"/>
      <w:bookmarkEnd w:id="232"/>
      <w:bookmarkEnd w:id="233"/>
      <w:bookmarkEnd w:id="234"/>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处置危险化学品生产安全事故过程中，相关单位应充分考虑对人员造成危害的可能性和所有危害种类，制订科学合理、切实可行的应急救援方案，配备先进适用、安全可靠的安全防护设备，采取必要的防范措施，确保救援人员安全。</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35" w:name="_Toc14836"/>
      <w:bookmarkStart w:id="236" w:name="_Toc458774531"/>
      <w:bookmarkStart w:id="237" w:name="_Toc14196"/>
      <w:bookmarkStart w:id="238" w:name="_Toc2209"/>
      <w:bookmarkStart w:id="239" w:name="_Toc25076"/>
      <w:bookmarkStart w:id="240" w:name="_Toc10424"/>
      <w:bookmarkStart w:id="241" w:name="_Toc454063164"/>
      <w:r>
        <w:rPr>
          <w:rFonts w:hint="eastAsia" w:ascii="黑体" w:hAnsi="黑体" w:eastAsia="黑体" w:cs="黑体"/>
          <w:b w:val="0"/>
          <w:bCs/>
          <w:kern w:val="2"/>
          <w:sz w:val="32"/>
          <w:szCs w:val="24"/>
          <w:lang w:val="en-US" w:eastAsia="zh-CN"/>
        </w:rPr>
        <w:t>7.8 通信和信息保障</w:t>
      </w:r>
      <w:bookmarkEnd w:id="235"/>
      <w:bookmarkEnd w:id="236"/>
      <w:bookmarkEnd w:id="237"/>
      <w:bookmarkEnd w:id="238"/>
      <w:bookmarkEnd w:id="239"/>
      <w:bookmarkEnd w:id="240"/>
      <w:bookmarkEnd w:id="241"/>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sz w:val="28"/>
          <w:szCs w:val="28"/>
        </w:rPr>
      </w:pPr>
      <w:r>
        <w:rPr>
          <w:rFonts w:hint="eastAsia" w:ascii="仿宋_GB2312" w:hAnsi="仿宋_GB2312" w:eastAsia="仿宋_GB2312" w:cs="仿宋_GB2312"/>
          <w:sz w:val="32"/>
          <w:szCs w:val="32"/>
        </w:rPr>
        <w:t>应急指挥部协调各通信运营企业，建立有线和无线相结合、基础电信网络与应急通信设施相配套的应急通信系统，确保应急处置通信畅通。</w:t>
      </w:r>
      <w:bookmarkStart w:id="242" w:name="_Toc458774532"/>
      <w:bookmarkStart w:id="243" w:name="_Toc14421"/>
      <w:bookmarkStart w:id="244" w:name="_Toc6875"/>
      <w:bookmarkStart w:id="245" w:name="_Toc11641"/>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46" w:name="_Toc32670"/>
      <w:bookmarkStart w:id="247" w:name="_Toc9284"/>
      <w:bookmarkStart w:id="248" w:name="_Toc9352"/>
      <w:r>
        <w:rPr>
          <w:rFonts w:hint="eastAsia" w:ascii="黑体" w:hAnsi="黑体" w:eastAsia="黑体" w:cs="黑体"/>
          <w:b w:val="0"/>
          <w:bCs/>
          <w:kern w:val="2"/>
          <w:sz w:val="32"/>
          <w:szCs w:val="24"/>
          <w:lang w:val="en-US" w:eastAsia="zh-CN"/>
        </w:rPr>
        <w:t>7.9 科技支撑保障</w:t>
      </w:r>
      <w:bookmarkEnd w:id="246"/>
      <w:bookmarkEnd w:id="247"/>
      <w:bookmarkEnd w:id="248"/>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textAlignment w:val="auto"/>
        <w:rPr>
          <w:rFonts w:hint="eastAsia" w:ascii="黑体" w:hAnsi="黑体" w:eastAsia="黑体" w:cs="黑体"/>
          <w:kern w:val="2"/>
          <w:sz w:val="32"/>
          <w:szCs w:val="32"/>
          <w:lang w:val="en-US"/>
        </w:rPr>
      </w:pPr>
      <w:r>
        <w:rPr>
          <w:rFonts w:hint="eastAsia" w:ascii="仿宋_GB2312" w:hAnsi="仿宋_GB2312" w:eastAsia="仿宋_GB2312" w:cs="仿宋_GB2312"/>
          <w:sz w:val="32"/>
          <w:szCs w:val="32"/>
        </w:rPr>
        <w:t>由区教育局牵头，区工业和信息化局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科学技术局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配合，采取扶持政策和优惠措施，鼓励和支持高等院校、科研院所和有关机构等开展研究用于危险化学品事故预防、监测、预警、应急处置与救援的新技术、新工艺、新设备和新材料。</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49" w:name="4.12  气象服务保障"/>
      <w:bookmarkEnd w:id="249"/>
      <w:bookmarkStart w:id="250" w:name="_bookmark30"/>
      <w:bookmarkEnd w:id="250"/>
      <w:bookmarkStart w:id="251" w:name="_Toc6929"/>
      <w:bookmarkStart w:id="252" w:name="_Toc32419"/>
      <w:bookmarkStart w:id="253" w:name="_Toc32068"/>
      <w:r>
        <w:rPr>
          <w:rFonts w:hint="eastAsia" w:ascii="黑体" w:hAnsi="黑体" w:eastAsia="黑体" w:cs="黑体"/>
          <w:b w:val="0"/>
          <w:bCs/>
          <w:kern w:val="2"/>
          <w:sz w:val="32"/>
          <w:szCs w:val="24"/>
          <w:lang w:val="en-US" w:eastAsia="zh-CN"/>
        </w:rPr>
        <w:t>7.10 气象服务保障</w:t>
      </w:r>
      <w:bookmarkEnd w:id="251"/>
      <w:bookmarkEnd w:id="252"/>
      <w:bookmarkEnd w:id="253"/>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由指挥部联系市气象局负责气象服务保障工作，提供天气预报并加强对极端天气的监测和预警。根据预防和应对危险化学品事故的需要，提供局部地区气象监测预警服务。</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54" w:name="_bookmark31"/>
      <w:bookmarkEnd w:id="254"/>
      <w:bookmarkStart w:id="255" w:name="4.13  法制保障"/>
      <w:bookmarkEnd w:id="255"/>
      <w:bookmarkStart w:id="256" w:name="_Toc17085"/>
      <w:bookmarkStart w:id="257" w:name="_Toc25557"/>
      <w:bookmarkStart w:id="258" w:name="_Toc17279"/>
      <w:r>
        <w:rPr>
          <w:rFonts w:hint="eastAsia" w:ascii="黑体" w:hAnsi="黑体" w:eastAsia="黑体" w:cs="黑体"/>
          <w:b w:val="0"/>
          <w:bCs/>
          <w:kern w:val="2"/>
          <w:sz w:val="32"/>
          <w:szCs w:val="24"/>
          <w:lang w:val="en-US" w:eastAsia="zh-CN"/>
        </w:rPr>
        <w:t>7.11 法制保障</w:t>
      </w:r>
      <w:bookmarkEnd w:id="256"/>
      <w:bookmarkEnd w:id="257"/>
      <w:bookmarkEnd w:id="258"/>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在危险化学品事故发生和延续期间，区政府根据需要依法制定和发布紧急决定和命令。区司法局按照区政府的要求对危险化学品事故应对工作提供法律意见。</w:t>
      </w:r>
    </w:p>
    <w:bookmarkEnd w:id="242"/>
    <w:bookmarkEnd w:id="243"/>
    <w:bookmarkEnd w:id="244"/>
    <w:bookmarkEnd w:id="245"/>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59" w:name="_Toc4438"/>
      <w:bookmarkStart w:id="260" w:name="_Toc22449"/>
      <w:bookmarkStart w:id="261" w:name="_Toc4963"/>
      <w:bookmarkStart w:id="262" w:name="_Toc22377"/>
      <w:bookmarkStart w:id="263" w:name="_Toc17491"/>
      <w:bookmarkStart w:id="264" w:name="_Toc32369"/>
      <w:r>
        <w:rPr>
          <w:rFonts w:hint="eastAsia" w:ascii="黑体" w:hAnsi="黑体" w:eastAsia="黑体" w:cs="黑体"/>
          <w:b w:val="0"/>
          <w:bCs/>
          <w:kern w:val="2"/>
          <w:sz w:val="32"/>
          <w:szCs w:val="24"/>
          <w:lang w:val="en-US" w:eastAsia="zh-CN"/>
        </w:rPr>
        <w:t>7.12 其他应急保障</w:t>
      </w:r>
      <w:bookmarkEnd w:id="259"/>
      <w:bookmarkEnd w:id="260"/>
      <w:bookmarkEnd w:id="261"/>
      <w:bookmarkEnd w:id="262"/>
      <w:bookmarkEnd w:id="263"/>
      <w:bookmarkEnd w:id="264"/>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危险化学品事故应急救援所需的其他保障由区有关部门按照《清远市清城区突发事件总体应急预案》确定的职责，依据各部门的预案进行保障。</w:t>
      </w:r>
    </w:p>
    <w:p>
      <w:pPr>
        <w:pStyle w:val="2"/>
        <w:rPr>
          <w:rFonts w:hint="eastAsia"/>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265" w:name="_Toc20675"/>
      <w:r>
        <w:rPr>
          <w:rStyle w:val="26"/>
          <w:rFonts w:hint="eastAsia" w:ascii="方正小标宋_GBK" w:hAnsi="方正小标宋_GBK" w:eastAsia="方正小标宋_GBK" w:cs="方正小标宋_GBK"/>
          <w:b w:val="0"/>
          <w:bCs/>
          <w:sz w:val="44"/>
          <w:szCs w:val="44"/>
          <w:lang w:val="en-US" w:eastAsia="zh-CN" w:bidi="ar"/>
        </w:rPr>
        <w:t>8 监督管理</w:t>
      </w:r>
      <w:bookmarkEnd w:id="265"/>
      <w:bookmarkStart w:id="266" w:name="_Toc355566403"/>
      <w:bookmarkStart w:id="267" w:name="_Toc157316366"/>
      <w:bookmarkStart w:id="268" w:name="_Toc458774548"/>
    </w:p>
    <w:bookmarkEnd w:id="266"/>
    <w:bookmarkEnd w:id="267"/>
    <w:bookmarkEnd w:id="268"/>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69" w:name="_Toc18116"/>
      <w:bookmarkStart w:id="270" w:name="_Toc3260"/>
      <w:bookmarkStart w:id="271" w:name="_Toc14679"/>
      <w:bookmarkStart w:id="272" w:name="_Toc23827"/>
      <w:r>
        <w:rPr>
          <w:rFonts w:hint="eastAsia" w:ascii="黑体" w:hAnsi="黑体" w:eastAsia="黑体" w:cs="黑体"/>
          <w:b w:val="0"/>
          <w:bCs/>
          <w:kern w:val="2"/>
          <w:sz w:val="32"/>
          <w:szCs w:val="24"/>
          <w:lang w:val="en-US" w:eastAsia="zh-CN"/>
        </w:rPr>
        <w:t>8.1 应急演练</w:t>
      </w:r>
      <w:bookmarkEnd w:id="269"/>
      <w:bookmarkEnd w:id="270"/>
      <w:bookmarkEnd w:id="271"/>
      <w:bookmarkEnd w:id="272"/>
    </w:p>
    <w:p>
      <w:pPr>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区政府负责统筹组织有关部门及企业定期开展全区危险化学品生产安全事故应急演练，通过演练，落实岗位责任制，熟悉应急工作的指挥机制及决策、协调和处理程序，识别资源需求、评价应急准备状态，检验预案和可行性和修订完善应急预案。</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区应急管理局、区交通运输局等行业主管部门负责建立预案演练制度，至少每3年进行一次应急演练，做好各部门之间的协调配合及通信联络，确保紧急状态下的有效沟通和统一指挥。通过应急演练，培训和锻炼应急救援队伍，改进和完善应急预案，并做好演练评估工作。及时分析存在的问题，及时整改。</w:t>
      </w:r>
    </w:p>
    <w:p>
      <w:pPr>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各危险化学品企业按相关法律法规要求，每年组织综合和专项预案应急演练，通过演练不断提高企业应急处置能力。</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73" w:name="_Toc27021"/>
      <w:bookmarkStart w:id="274" w:name="_Toc32333"/>
      <w:bookmarkStart w:id="275" w:name="_Toc27133"/>
      <w:bookmarkStart w:id="276" w:name="_Toc18444"/>
      <w:r>
        <w:rPr>
          <w:rFonts w:hint="eastAsia" w:ascii="黑体" w:hAnsi="黑体" w:eastAsia="黑体" w:cs="黑体"/>
          <w:b w:val="0"/>
          <w:bCs/>
          <w:kern w:val="2"/>
          <w:sz w:val="32"/>
          <w:szCs w:val="24"/>
          <w:lang w:val="en-US" w:eastAsia="zh-CN"/>
        </w:rPr>
        <w:t>8.2 教育</w:t>
      </w:r>
      <w:bookmarkEnd w:id="273"/>
      <w:bookmarkEnd w:id="274"/>
      <w:bookmarkEnd w:id="275"/>
      <w:r>
        <w:rPr>
          <w:rFonts w:hint="eastAsia" w:ascii="黑体" w:hAnsi="黑体" w:eastAsia="黑体" w:cs="黑体"/>
          <w:b w:val="0"/>
          <w:bCs/>
          <w:kern w:val="2"/>
          <w:sz w:val="32"/>
          <w:szCs w:val="24"/>
          <w:lang w:val="en-US" w:eastAsia="zh-CN"/>
        </w:rPr>
        <w:t>培训</w:t>
      </w:r>
      <w:bookmarkEnd w:id="276"/>
    </w:p>
    <w:p>
      <w:pPr>
        <w:keepNext w:val="0"/>
        <w:keepLines w:val="0"/>
        <w:pageBreakBefore w:val="0"/>
        <w:widowControl w:val="0"/>
        <w:numPr>
          <w:ilvl w:val="0"/>
          <w:numId w:val="5"/>
        </w:numPr>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区级行业主管部门及属地政府应当开展应急法律法规、应急预案和应急知识宣传教育活动，增强全民安全生产意识和预防、避险、自救、互救等能力。</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（2）充分利用广播、电视、报纸、互联网以及安全实景模拟教育基地等多种载体，开展应急宣传教育。新闻媒体应当无偿开展突发事件预防和应对、自救互救知识的公益宣传。</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（3）有关行业主管部门应组织危险化学品监管人员、应急救援人员开展应急管理相关培训，提升其预防和应对危险化学品生产安全事故的意识和能力。</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（4）区各有关部门（单位）应当按照隶属关系和管理责任，加强本系统、本领域专业应急救援队伍的培训，提高其专业救援能力和安全防护技能。</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5）危险化学品企业应将应急培训工作纳入日常管理，定期开展相关培训。加强员工上岗前培训，确保从业人员具备必要的安全生产知识，掌握安全生产规章制度和安全操作规程，具备本岗位安全操作技能和处置突发事件的能力，安全管理人员和特种作业人员必须持证上岗。</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77" w:name="_Toc18522"/>
      <w:bookmarkStart w:id="278" w:name="_Toc6313"/>
      <w:bookmarkStart w:id="279" w:name="_Toc29263"/>
      <w:bookmarkStart w:id="280" w:name="_Toc11378"/>
      <w:r>
        <w:rPr>
          <w:rFonts w:hint="eastAsia" w:ascii="黑体" w:hAnsi="黑体" w:eastAsia="黑体" w:cs="黑体"/>
          <w:b w:val="0"/>
          <w:bCs/>
          <w:kern w:val="2"/>
          <w:sz w:val="32"/>
          <w:szCs w:val="24"/>
          <w:lang w:val="en-US" w:eastAsia="zh-CN"/>
        </w:rPr>
        <w:t>8.3 责任与奖惩</w:t>
      </w:r>
      <w:bookmarkEnd w:id="277"/>
      <w:bookmarkEnd w:id="278"/>
      <w:bookmarkEnd w:id="279"/>
      <w:bookmarkEnd w:id="280"/>
    </w:p>
    <w:p>
      <w:pPr>
        <w:keepNext w:val="0"/>
        <w:keepLines w:val="0"/>
        <w:pageBreakBefore w:val="0"/>
        <w:widowControl w:val="0"/>
        <w:numPr>
          <w:ilvl w:val="0"/>
          <w:numId w:val="6"/>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指挥部办公室根据事故调查报告提请区人民政府对在危险化学品生产安全事故应急处置中做出贡献的部门（单位）、个人给予表彰和奖励。对在应急处置工作中拒报、迟报、谎报、瞒报和漏报事故重要情况，或者在应急处置工作中有失职、渎职行为的有关单位和责任人，按照相关法律法规的规定进行处罚。</w:t>
      </w:r>
    </w:p>
    <w:p>
      <w:pPr>
        <w:keepNext w:val="0"/>
        <w:keepLines w:val="0"/>
        <w:pageBreakBefore w:val="0"/>
        <w:widowControl w:val="0"/>
        <w:numPr>
          <w:ilvl w:val="0"/>
          <w:numId w:val="6"/>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危险化学品生产安全事故预防和应对工作实行行政领导负责制和责任追究制，纳入行政机关主要负责人和有关负责人绩效考核范围。</w:t>
      </w:r>
    </w:p>
    <w:p>
      <w:pPr>
        <w:keepNext w:val="0"/>
        <w:keepLines w:val="0"/>
        <w:pageBreakBefore w:val="0"/>
        <w:widowControl w:val="0"/>
        <w:numPr>
          <w:ilvl w:val="0"/>
          <w:numId w:val="6"/>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对未按应急预案规定履行有关职责，导致危险化学品生产安全事故发生或危害扩大的，或出现不服从上级政府统一指挥，未及时组织开展生产自救和善后工作，截留、挤占、挪用应急资金等情况的有关责任人，依照有关规定给予处罚或处分。涉嫌犯罪的，依法移送司法机关追究刑事责任。</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81" w:name="_Toc28914"/>
      <w:r>
        <w:rPr>
          <w:rFonts w:hint="eastAsia" w:ascii="黑体" w:hAnsi="黑体" w:eastAsia="黑体" w:cs="黑体"/>
          <w:b w:val="0"/>
          <w:bCs/>
          <w:kern w:val="2"/>
          <w:sz w:val="32"/>
          <w:szCs w:val="24"/>
          <w:lang w:val="en-US" w:eastAsia="zh-CN"/>
        </w:rPr>
        <w:t>8.4 预案管理</w:t>
      </w:r>
      <w:bookmarkEnd w:id="281"/>
    </w:p>
    <w:p>
      <w:pPr>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区应急管理局负责建立应急预案评估制度，原则上至少每3年对本预案评估1次，并根据评估结果，及时提请区人民政府修订完善本预案。有关法律法规对应急预案修订周期另有规定的，从其规定。有下列情形之一时，应当及时修订本预案：</w:t>
      </w:r>
    </w:p>
    <w:p>
      <w:pPr>
        <w:keepNext w:val="0"/>
        <w:keepLines w:val="0"/>
        <w:pageBreakBefore w:val="0"/>
        <w:widowControl w:val="0"/>
        <w:numPr>
          <w:ilvl w:val="0"/>
          <w:numId w:val="7"/>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282" w:name="bookmark222"/>
      <w:bookmarkEnd w:id="282"/>
      <w:r>
        <w:rPr>
          <w:rFonts w:hint="eastAsia" w:ascii="仿宋_GB2312" w:hAnsi="仿宋_GB2312" w:eastAsia="仿宋_GB2312" w:cs="仿宋_GB2312"/>
          <w:sz w:val="32"/>
          <w:szCs w:val="32"/>
          <w:lang w:val="en-US"/>
        </w:rPr>
        <w:t>有关法律、行政法规、规章、标准、上位预案中的有关规定发生变化的；</w:t>
      </w:r>
    </w:p>
    <w:p>
      <w:pPr>
        <w:keepNext w:val="0"/>
        <w:keepLines w:val="0"/>
        <w:pageBreakBefore w:val="0"/>
        <w:widowControl w:val="0"/>
        <w:numPr>
          <w:ilvl w:val="0"/>
          <w:numId w:val="7"/>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应急指挥机构及其职责发生重大调整的；</w:t>
      </w:r>
      <w:bookmarkStart w:id="283" w:name="bookmark224"/>
      <w:bookmarkEnd w:id="283"/>
    </w:p>
    <w:p>
      <w:pPr>
        <w:keepNext w:val="0"/>
        <w:keepLines w:val="0"/>
        <w:pageBreakBefore w:val="0"/>
        <w:widowControl w:val="0"/>
        <w:numPr>
          <w:ilvl w:val="0"/>
          <w:numId w:val="7"/>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面临的风险发生重大变化的；</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284" w:name="bookmark225"/>
      <w:bookmarkEnd w:id="284"/>
      <w:r>
        <w:rPr>
          <w:rFonts w:hint="eastAsia" w:ascii="仿宋_GB2312" w:hAnsi="仿宋_GB2312" w:eastAsia="仿宋_GB2312" w:cs="仿宋_GB2312"/>
          <w:sz w:val="32"/>
          <w:szCs w:val="32"/>
          <w:lang w:val="en-US"/>
        </w:rPr>
        <w:t>重要应急资源发生重大变化的；</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285" w:name="bookmark226"/>
      <w:bookmarkEnd w:id="285"/>
      <w:r>
        <w:rPr>
          <w:rFonts w:hint="eastAsia" w:ascii="仿宋_GB2312" w:hAnsi="仿宋_GB2312" w:eastAsia="仿宋_GB2312" w:cs="仿宋_GB2312"/>
          <w:sz w:val="32"/>
          <w:szCs w:val="32"/>
          <w:lang w:val="en-US"/>
        </w:rPr>
        <w:t>预案中的其他重要信息发生变化的；</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286" w:name="bookmark227"/>
      <w:bookmarkEnd w:id="286"/>
      <w:r>
        <w:rPr>
          <w:rFonts w:hint="eastAsia" w:ascii="仿宋_GB2312" w:hAnsi="仿宋_GB2312" w:eastAsia="仿宋_GB2312" w:cs="仿宋_GB2312"/>
          <w:sz w:val="32"/>
          <w:szCs w:val="32"/>
          <w:lang w:val="en-US"/>
        </w:rPr>
        <w:t>在事故实际应对和应急演练中发现问题需要作出重大调整的；</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bookmarkStart w:id="287" w:name="bookmark228"/>
      <w:bookmarkEnd w:id="287"/>
      <w:r>
        <w:rPr>
          <w:rFonts w:hint="eastAsia" w:ascii="仿宋_GB2312" w:hAnsi="仿宋_GB2312" w:eastAsia="仿宋_GB2312" w:cs="仿宋_GB2312"/>
          <w:sz w:val="32"/>
          <w:szCs w:val="32"/>
          <w:lang w:val="en-US"/>
        </w:rPr>
        <w:t>应急预案制定单位认为应当修订的其他情况。</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88" w:name="_Toc29456"/>
      <w:r>
        <w:rPr>
          <w:rFonts w:hint="eastAsia" w:ascii="黑体" w:hAnsi="黑体" w:eastAsia="黑体" w:cs="黑体"/>
          <w:b w:val="0"/>
          <w:bCs/>
          <w:kern w:val="2"/>
          <w:sz w:val="32"/>
          <w:szCs w:val="24"/>
          <w:lang w:val="en-US" w:eastAsia="zh-CN"/>
        </w:rPr>
        <w:t>8.5 预案备案</w:t>
      </w:r>
      <w:bookmarkEnd w:id="288"/>
    </w:p>
    <w:p>
      <w:pPr>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按照规定，本预案向清城区人民政府备案。</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both"/>
        <w:textAlignment w:val="auto"/>
        <w:rPr>
          <w:rFonts w:hint="eastAsia" w:ascii="黑体" w:hAnsi="黑体" w:eastAsia="黑体" w:cs="黑体"/>
          <w:b w:val="0"/>
          <w:bCs/>
          <w:kern w:val="2"/>
          <w:sz w:val="32"/>
          <w:szCs w:val="24"/>
          <w:lang w:val="en-US" w:eastAsia="zh-CN"/>
        </w:rPr>
      </w:pPr>
      <w:bookmarkStart w:id="289" w:name="_Toc20405"/>
      <w:r>
        <w:rPr>
          <w:rFonts w:hint="eastAsia" w:ascii="黑体" w:hAnsi="黑体" w:eastAsia="黑体" w:cs="黑体"/>
          <w:b w:val="0"/>
          <w:bCs/>
          <w:kern w:val="2"/>
          <w:sz w:val="32"/>
          <w:szCs w:val="24"/>
          <w:lang w:val="en-US" w:eastAsia="zh-CN"/>
        </w:rPr>
        <w:t>8.6 发布实施</w:t>
      </w:r>
      <w:bookmarkEnd w:id="289"/>
    </w:p>
    <w:p>
      <w:pPr>
        <w:pageBreakBefore w:val="0"/>
        <w:widowControl w:val="0"/>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本预案由清城区应急管理局修编，报区人民政府批准后发布，自公布之日起施行，由清远市清城区应急管理局负责解释。</w:t>
      </w:r>
    </w:p>
    <w:p>
      <w:pPr>
        <w:pStyle w:val="2"/>
        <w:rPr>
          <w:rFonts w:hint="eastAsia"/>
          <w:lang w:val="en-US"/>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Fonts w:hint="eastAsia" w:ascii="方正小标宋_GBK" w:hAnsi="方正小标宋_GBK" w:eastAsia="方正小标宋_GBK" w:cs="方正小标宋_GBK"/>
          <w:b w:val="0"/>
          <w:bCs/>
          <w:sz w:val="44"/>
          <w:szCs w:val="44"/>
        </w:rPr>
      </w:pPr>
      <w:bookmarkStart w:id="290" w:name="_Toc19644"/>
      <w:r>
        <w:rPr>
          <w:rStyle w:val="26"/>
          <w:rFonts w:hint="eastAsia" w:ascii="方正小标宋_GBK" w:hAnsi="方正小标宋_GBK" w:eastAsia="方正小标宋_GBK" w:cs="方正小标宋_GBK"/>
          <w:b w:val="0"/>
          <w:bCs/>
          <w:sz w:val="44"/>
          <w:szCs w:val="44"/>
          <w:lang w:val="en-US" w:eastAsia="zh-CN" w:bidi="ar"/>
        </w:rPr>
        <w:t>9</w:t>
      </w:r>
      <w:bookmarkEnd w:id="290"/>
      <w:r>
        <w:rPr>
          <w:rStyle w:val="26"/>
          <w:rFonts w:hint="eastAsia" w:ascii="方正小标宋_GBK" w:hAnsi="方正小标宋_GBK" w:eastAsia="方正小标宋_GBK" w:cs="方正小标宋_GBK"/>
          <w:b w:val="0"/>
          <w:bCs/>
          <w:sz w:val="44"/>
          <w:szCs w:val="44"/>
          <w:lang w:val="en-US" w:eastAsia="zh-CN" w:bidi="ar"/>
        </w:rPr>
        <w:t xml:space="preserve"> 附则（</w:t>
      </w:r>
      <w:r>
        <w:rPr>
          <w:rFonts w:hint="eastAsia" w:ascii="方正小标宋_GBK" w:hAnsi="方正小标宋_GBK" w:eastAsia="方正小标宋_GBK" w:cs="方正小标宋_GBK"/>
          <w:b w:val="0"/>
          <w:bCs/>
          <w:sz w:val="44"/>
          <w:szCs w:val="44"/>
          <w:lang w:val="en-US" w:eastAsia="zh-CN"/>
        </w:rPr>
        <w:t>名词术语定义</w:t>
      </w:r>
      <w:r>
        <w:rPr>
          <w:rStyle w:val="26"/>
          <w:rFonts w:hint="eastAsia" w:ascii="方正小标宋_GBK" w:hAnsi="方正小标宋_GBK" w:eastAsia="方正小标宋_GBK" w:cs="方正小标宋_GBK"/>
          <w:b w:val="0"/>
          <w:bCs/>
          <w:sz w:val="44"/>
          <w:szCs w:val="44"/>
          <w:lang w:val="en-US" w:eastAsia="zh-CN" w:bidi="ar"/>
        </w:rPr>
        <w:t>）</w:t>
      </w:r>
    </w:p>
    <w:p>
      <w:pPr>
        <w:keepNext w:val="0"/>
        <w:keepLines w:val="0"/>
        <w:pageBreakBefore w:val="0"/>
        <w:widowControl w:val="0"/>
        <w:numPr>
          <w:ilvl w:val="0"/>
          <w:numId w:val="8"/>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危险化学品：指具有毒害、腐蚀、爆炸、燃烧、助燃等性质，对人体、设施、环境具有危害的剧毒化学品和其他化学品。</w:t>
      </w:r>
    </w:p>
    <w:p>
      <w:pPr>
        <w:keepNext w:val="0"/>
        <w:keepLines w:val="0"/>
        <w:pageBreakBefore w:val="0"/>
        <w:widowControl w:val="0"/>
        <w:numPr>
          <w:ilvl w:val="0"/>
          <w:numId w:val="8"/>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特别管控危险化学品：指固有危险性高、发生事故的安全风险大、事故后果严重、流通量大，需要特别管控的危险化学品。</w:t>
      </w:r>
    </w:p>
    <w:p>
      <w:pPr>
        <w:keepNext w:val="0"/>
        <w:keepLines w:val="0"/>
        <w:pageBreakBefore w:val="0"/>
        <w:widowControl w:val="0"/>
        <w:numPr>
          <w:ilvl w:val="0"/>
          <w:numId w:val="8"/>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危险化学品生产安全事故：指在生产、储存、使用、经营、运输危险化学品和处置废弃危险化学品的过程中，由危险化学品直接或间接引发的人员伤亡、财产损失或环境污染事故。</w:t>
      </w:r>
    </w:p>
    <w:p>
      <w:pPr>
        <w:keepNext w:val="0"/>
        <w:keepLines w:val="0"/>
        <w:pageBreakBefore w:val="0"/>
        <w:widowControl w:val="0"/>
        <w:numPr>
          <w:ilvl w:val="0"/>
          <w:numId w:val="8"/>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危险化学品应急救援：由危险化学品造成人员伤害、财产损失和环境污染及其他较大社会危害时，为及时控制事故，抢救受害人员，指导群众防护和组织撤离，清除危害后果而组织的救援活动。</w:t>
      </w:r>
    </w:p>
    <w:p>
      <w:pPr>
        <w:keepNext w:val="0"/>
        <w:keepLines w:val="0"/>
        <w:pageBreakBefore w:val="0"/>
        <w:widowControl w:val="0"/>
        <w:numPr>
          <w:ilvl w:val="0"/>
          <w:numId w:val="8"/>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负有安全生产监督管理职责的部门：是应急管理部门和其他对有关行业、领域的安全生产工作实施监督管理部门的统称。</w:t>
      </w:r>
    </w:p>
    <w:p>
      <w:pPr>
        <w:keepNext w:val="0"/>
        <w:keepLines w:val="0"/>
        <w:pageBreakBefore w:val="0"/>
        <w:widowControl w:val="0"/>
        <w:numPr>
          <w:ilvl w:val="0"/>
          <w:numId w:val="8"/>
        </w:numPr>
        <w:kinsoku/>
        <w:wordWrap/>
        <w:overflowPunct/>
        <w:topLinePunct w:val="0"/>
        <w:autoSpaceDE/>
        <w:autoSpaceDN/>
        <w:bidi w:val="0"/>
        <w:adjustRightInd/>
        <w:snapToGrid/>
        <w:spacing w:after="0" w:line="560" w:lineRule="exact"/>
        <w:ind w:firstLine="640" w:firstLineChars="200"/>
        <w:jc w:val="both"/>
        <w:textAlignment w:val="auto"/>
        <w:rPr>
          <w:rFonts w:hint="eastAsia" w:ascii="宋体" w:hAnsi="宋体"/>
          <w:sz w:val="28"/>
          <w:szCs w:val="28"/>
        </w:rPr>
      </w:pPr>
      <w:r>
        <w:rPr>
          <w:rFonts w:hint="eastAsia" w:ascii="仿宋_GB2312" w:hAnsi="仿宋_GB2312" w:eastAsia="仿宋_GB2312" w:cs="仿宋_GB2312"/>
          <w:sz w:val="32"/>
          <w:szCs w:val="32"/>
          <w:lang w:val="en-US"/>
        </w:rPr>
        <w:t>其他说明：本预案有关表述中，“以上”含本级（本数），“以下”不含本级（本数）。</w:t>
      </w:r>
    </w:p>
    <w:p>
      <w:pPr>
        <w:pStyle w:val="2"/>
        <w:rPr>
          <w:rFonts w:hint="eastAsia" w:ascii="仿宋_GB2312" w:hAnsi="仿宋_GB2312" w:eastAsia="仿宋_GB2312" w:cs="仿宋_GB2312"/>
          <w:sz w:val="32"/>
          <w:szCs w:val="32"/>
          <w:lang w:val="en-US"/>
        </w:rPr>
      </w:pPr>
    </w:p>
    <w:p>
      <w:pPr>
        <w:pStyle w:val="2"/>
        <w:rPr>
          <w:rFonts w:hint="eastAsia" w:ascii="仿宋_GB2312" w:hAnsi="仿宋_GB2312" w:eastAsia="仿宋_GB2312" w:cs="仿宋_GB2312"/>
          <w:sz w:val="32"/>
          <w:szCs w:val="32"/>
          <w:lang w:val="en-US"/>
        </w:rPr>
      </w:pPr>
    </w:p>
    <w:p>
      <w:pPr>
        <w:pStyle w:val="3"/>
        <w:keepNext w:val="0"/>
        <w:keepLines w:val="0"/>
        <w:pageBreakBefore w:val="0"/>
        <w:widowControl w:val="0"/>
        <w:kinsoku/>
        <w:wordWrap/>
        <w:overflowPunct/>
        <w:topLinePunct w:val="0"/>
        <w:autoSpaceDE/>
        <w:autoSpaceDN/>
        <w:bidi w:val="0"/>
        <w:adjustRightInd/>
        <w:snapToGrid/>
        <w:spacing w:before="100" w:beforeLines="-2147483648" w:beforeAutospacing="1" w:after="100" w:afterLines="-2147483648" w:afterAutospacing="1" w:line="560" w:lineRule="exact"/>
        <w:jc w:val="left"/>
        <w:textAlignment w:val="auto"/>
        <w:rPr>
          <w:rStyle w:val="26"/>
          <w:rFonts w:hint="eastAsia" w:ascii="方正小标宋_GBK" w:hAnsi="方正小标宋_GBK" w:eastAsia="方正小标宋_GBK" w:cs="方正小标宋_GBK"/>
          <w:b w:val="0"/>
          <w:bCs/>
          <w:sz w:val="44"/>
          <w:szCs w:val="44"/>
          <w:lang w:val="en-US" w:eastAsia="zh-CN" w:bidi="ar"/>
        </w:rPr>
      </w:pPr>
      <w:bookmarkStart w:id="291" w:name="_Toc10487"/>
      <w:r>
        <w:rPr>
          <w:rStyle w:val="26"/>
          <w:rFonts w:hint="eastAsia" w:ascii="方正小标宋_GBK" w:hAnsi="方正小标宋_GBK" w:eastAsia="方正小标宋_GBK" w:cs="方正小标宋_GBK"/>
          <w:b w:val="0"/>
          <w:bCs/>
          <w:sz w:val="44"/>
          <w:szCs w:val="44"/>
          <w:lang w:val="en-US" w:eastAsia="zh-CN" w:bidi="ar"/>
        </w:rPr>
        <w:t>10 附件</w:t>
      </w:r>
      <w:bookmarkEnd w:id="291"/>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left"/>
        <w:textAlignment w:val="auto"/>
        <w:rPr>
          <w:rFonts w:hint="eastAsia" w:ascii="黑体" w:hAnsi="黑体" w:eastAsia="黑体" w:cs="黑体"/>
          <w:b w:val="0"/>
          <w:bCs/>
          <w:kern w:val="2"/>
          <w:sz w:val="32"/>
          <w:szCs w:val="24"/>
          <w:lang w:val="en-US" w:eastAsia="zh-CN"/>
        </w:rPr>
      </w:pPr>
      <w:bookmarkStart w:id="292" w:name="_Toc13765"/>
      <w:bookmarkStart w:id="293" w:name="_Toc30855"/>
      <w:bookmarkStart w:id="294" w:name="_Toc32385"/>
      <w:bookmarkStart w:id="295" w:name="_Toc492822613"/>
      <w:bookmarkStart w:id="296" w:name="_Toc685"/>
      <w:r>
        <w:rPr>
          <w:rFonts w:hint="eastAsia" w:ascii="黑体" w:hAnsi="黑体" w:eastAsia="黑体" w:cs="黑体"/>
          <w:b w:val="0"/>
          <w:bCs/>
          <w:kern w:val="2"/>
          <w:sz w:val="32"/>
          <w:szCs w:val="24"/>
          <w:lang w:val="en-US" w:eastAsia="zh-CN"/>
        </w:rPr>
        <w:t>10.1 清城区危险化学品风险辨识与评估</w:t>
      </w:r>
      <w:bookmarkEnd w:id="292"/>
      <w:bookmarkEnd w:id="293"/>
      <w:bookmarkEnd w:id="294"/>
      <w:bookmarkEnd w:id="295"/>
      <w:bookmarkEnd w:id="296"/>
    </w:p>
    <w:p>
      <w:pPr>
        <w:pageBreakBefore w:val="0"/>
        <w:kinsoku/>
        <w:wordWrap/>
        <w:overflowPunct/>
        <w:topLinePunct w:val="0"/>
        <w:autoSpaceDE/>
        <w:autoSpaceDN/>
        <w:bidi w:val="0"/>
        <w:adjustRightInd/>
        <w:snapToGrid/>
        <w:spacing w:after="0" w:line="560" w:lineRule="exact"/>
        <w:jc w:val="lef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10.1.1</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val="en-US"/>
        </w:rPr>
        <w:t>基本情况简介</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w:t>
      </w:r>
      <w:r>
        <w:rPr>
          <w:rFonts w:hint="eastAsia" w:ascii="仿宋_GB2312" w:hAnsi="仿宋_GB2312" w:eastAsia="仿宋_GB2312" w:cs="仿宋_GB2312"/>
          <w:sz w:val="32"/>
          <w:szCs w:val="32"/>
          <w:highlight w:val="none"/>
        </w:rPr>
        <w:t>清城区辖区共有危险化学品生产企业</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家</w:t>
      </w:r>
      <w:r>
        <w:rPr>
          <w:rFonts w:hint="eastAsia" w:ascii="仿宋_GB2312" w:hAnsi="仿宋_GB2312" w:eastAsia="仿宋_GB2312" w:cs="仿宋_GB2312"/>
          <w:sz w:val="32"/>
          <w:szCs w:val="32"/>
          <w:highlight w:val="none"/>
        </w:rPr>
        <w:t>（其中：构成重大危险源三、四级的企业</w:t>
      </w:r>
      <w:r>
        <w:rPr>
          <w:rFonts w:hint="eastAsia" w:ascii="仿宋_GB2312" w:hAnsi="仿宋_GB2312" w:eastAsia="仿宋_GB2312" w:cs="仿宋_GB2312"/>
          <w:sz w:val="32"/>
          <w:szCs w:val="32"/>
          <w:highlight w:val="none"/>
          <w:lang w:val="en-US"/>
        </w:rPr>
        <w:t>4</w:t>
      </w:r>
      <w:r>
        <w:rPr>
          <w:rFonts w:hint="eastAsia" w:ascii="仿宋_GB2312" w:hAnsi="仿宋_GB2312" w:eastAsia="仿宋_GB2312" w:cs="仿宋_GB2312"/>
          <w:sz w:val="32"/>
          <w:szCs w:val="32"/>
          <w:highlight w:val="none"/>
        </w:rPr>
        <w:t>家</w:t>
      </w:r>
      <w:r>
        <w:rPr>
          <w:rFonts w:hint="eastAsia" w:ascii="仿宋_GB2312" w:hAnsi="仿宋_GB2312" w:eastAsia="仿宋_GB2312" w:cs="仿宋_GB2312"/>
          <w:sz w:val="32"/>
          <w:szCs w:val="32"/>
          <w:highlight w:val="none"/>
          <w:lang w:eastAsia="zh-CN"/>
        </w:rPr>
        <w:t>（含蒙牛公司）</w:t>
      </w:r>
      <w:r>
        <w:rPr>
          <w:rFonts w:hint="eastAsia" w:ascii="仿宋_GB2312" w:hAnsi="仿宋_GB2312" w:eastAsia="仿宋_GB2312" w:cs="仿宋_GB2312"/>
          <w:sz w:val="32"/>
          <w:szCs w:val="32"/>
          <w:highlight w:val="none"/>
        </w:rPr>
        <w:t>，暂无一、二级重大危险源）</w:t>
      </w:r>
      <w:r>
        <w:rPr>
          <w:rFonts w:hint="eastAsia" w:ascii="仿宋_GB2312" w:hAnsi="仿宋_GB2312" w:eastAsia="仿宋_GB2312" w:cs="仿宋_GB2312"/>
          <w:sz w:val="32"/>
          <w:szCs w:val="32"/>
        </w:rPr>
        <w:t>，主要生产涂料、油墨、稀释剂等易燃液体，部分企业生产氢气、乙炔、氧气、氩气、氮气等压缩气体和液化气体，以及砷、砷化镓、三氯化砷、硒化锌、镉、镓、氧化镉等稀贵金属及化合物等，个别企业生产甲醛、硫酸等化工原料，危化品生产企业主要集中在龙塘镇、石角镇、横荷街道。</w:t>
      </w:r>
    </w:p>
    <w:p>
      <w:pPr>
        <w:pageBreakBefore w:val="0"/>
        <w:kinsoku/>
        <w:wordWrap/>
        <w:overflowPunct/>
        <w:topLinePunct w:val="0"/>
        <w:autoSpaceDE/>
        <w:autoSpaceDN/>
        <w:bidi w:val="0"/>
        <w:adjustRightInd/>
        <w:snapToGrid/>
        <w:spacing w:after="0" w:line="560" w:lineRule="exact"/>
        <w:jc w:val="left"/>
        <w:textAlignment w:val="auto"/>
        <w:rPr>
          <w:rFonts w:hint="eastAsia" w:ascii="楷体_GB2312" w:hAnsi="楷体_GB2312" w:eastAsia="楷体_GB2312" w:cs="楷体_GB2312"/>
          <w:b w:val="0"/>
          <w:bCs w:val="0"/>
          <w:sz w:val="32"/>
          <w:szCs w:val="32"/>
          <w:lang w:val="en-US"/>
        </w:rPr>
      </w:pPr>
      <w:r>
        <w:rPr>
          <w:rFonts w:hint="eastAsia" w:ascii="楷体_GB2312" w:hAnsi="楷体_GB2312" w:eastAsia="楷体_GB2312" w:cs="楷体_GB2312"/>
          <w:b w:val="0"/>
          <w:bCs w:val="0"/>
          <w:sz w:val="32"/>
          <w:szCs w:val="32"/>
          <w:lang w:val="en-US"/>
        </w:rPr>
        <w:t>10.1.2</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val="en-US"/>
        </w:rPr>
        <w:t>危险化学品风险辨识与评估</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根据清城区涉及的危险化学品类别和企业特点，主要事故类别包括火灾、爆炸、容器爆炸、中毒和窒息、化学灼烫等，具体分析如下：</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清城区危险化学品生产企业主要是涂料、油墨、颜料及类似产品制造业。这类企业规模相对较小，工艺简单，但此类事故极易造成大的社会影响。重点防范其火灾、爆炸事故。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生产、使用及储存乙炔、氢气、氧气等气体制造企业主要分布在横荷街道和龙塘镇，这类企业生产工人较少，应重点防范其火灾、爆炸事故。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危险化学品储存企业，工业气体储存重点防治火灾、容器爆炸，酸碱储存以防止化学灼伤、化学中毒为主。</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液氯使用单位主要有化学品生产企业，液氨使用企业有食品制造和玻璃制造以及其他制冷企业，应主要防止液氯、液氨汽化泄漏扩散，导致中毒和火灾爆炸事故。</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危险化学品道路运输可能发生交通事故，应重点防范其次生灾害的影响。包括油品等易燃液体泄漏引发的火灾、爆炸、中毒事故；压缩和液化气体钢瓶运输车辆钢瓶碰撞泄漏事故；危险化学品包装袋破损引发火灾、中毒事故。危险化学品水路运输应重点防范其码头装卸、化学品泄漏污染水源等事故。危险化学品铁路运输重点防范因泄漏导致的火灾、爆炸及扩散导致周边居民急性中毒事故。</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sz w:val="28"/>
          <w:szCs w:val="28"/>
        </w:rPr>
      </w:pPr>
      <w:r>
        <w:rPr>
          <w:rFonts w:hint="eastAsia" w:ascii="仿宋_GB2312" w:hAnsi="仿宋_GB2312" w:eastAsia="仿宋_GB2312" w:cs="仿宋_GB2312"/>
          <w:sz w:val="32"/>
          <w:szCs w:val="32"/>
        </w:rPr>
        <w:t>全区危险化学品生产、储存、经营、使用企业的风险辨识见</w:t>
      </w:r>
      <w:r>
        <w:rPr>
          <w:rFonts w:hint="eastAsia" w:ascii="仿宋_GB2312" w:hAnsi="仿宋_GB2312" w:eastAsia="仿宋_GB2312" w:cs="仿宋_GB2312"/>
          <w:b w:val="0"/>
          <w:bCs/>
          <w:sz w:val="32"/>
          <w:szCs w:val="32"/>
        </w:rPr>
        <w:t>表</w:t>
      </w:r>
      <w:r>
        <w:rPr>
          <w:rFonts w:hint="eastAsia" w:ascii="仿宋_GB2312" w:hAnsi="仿宋_GB2312" w:eastAsia="仿宋_GB2312" w:cs="仿宋_GB2312"/>
          <w:b w:val="0"/>
          <w:bCs/>
          <w:sz w:val="32"/>
          <w:szCs w:val="32"/>
          <w:lang w:val="en-US"/>
        </w:rPr>
        <w:t>10</w:t>
      </w:r>
      <w:r>
        <w:rPr>
          <w:rFonts w:hint="eastAsia" w:ascii="仿宋_GB2312" w:hAnsi="仿宋_GB2312" w:eastAsia="仿宋_GB2312" w:cs="仿宋_GB2312"/>
          <w:b w:val="0"/>
          <w:bCs/>
          <w:sz w:val="32"/>
          <w:szCs w:val="32"/>
        </w:rPr>
        <w:t>.1-1</w:t>
      </w:r>
      <w:r>
        <w:rPr>
          <w:rFonts w:hint="eastAsia" w:ascii="仿宋_GB2312" w:hAnsi="仿宋_GB2312" w:eastAsia="仿宋_GB2312" w:cs="仿宋_GB2312"/>
          <w:sz w:val="32"/>
          <w:szCs w:val="32"/>
          <w:lang w:eastAsia="zh-CN"/>
        </w:rPr>
        <w:t>。</w:t>
      </w:r>
      <w:r>
        <w:rPr>
          <w:rFonts w:hint="eastAsia" w:ascii="宋体" w:hAnsi="宋体"/>
          <w:sz w:val="28"/>
          <w:szCs w:val="28"/>
        </w:rPr>
        <w:t xml:space="preserve">  </w:t>
      </w:r>
      <w:r>
        <w:rPr>
          <w:rFonts w:hint="eastAsia"/>
          <w:sz w:val="28"/>
          <w:szCs w:val="28"/>
        </w:rPr>
        <w:t xml:space="preserve">       </w:t>
      </w:r>
    </w:p>
    <w:p>
      <w:pPr>
        <w:spacing w:before="120" w:beforeLines="50" w:after="120" w:afterLines="50"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b w:val="0"/>
          <w:bCs/>
          <w:sz w:val="28"/>
          <w:szCs w:val="28"/>
        </w:rPr>
        <w:t>表</w:t>
      </w:r>
      <w:r>
        <w:rPr>
          <w:rFonts w:hint="eastAsia" w:ascii="仿宋_GB2312" w:hAnsi="仿宋_GB2312" w:eastAsia="仿宋_GB2312" w:cs="仿宋_GB2312"/>
          <w:b w:val="0"/>
          <w:bCs/>
          <w:sz w:val="28"/>
          <w:szCs w:val="28"/>
          <w:lang w:val="en-US"/>
        </w:rPr>
        <w:t>10</w:t>
      </w:r>
      <w:r>
        <w:rPr>
          <w:rFonts w:hint="eastAsia" w:ascii="仿宋_GB2312" w:hAnsi="仿宋_GB2312" w:eastAsia="仿宋_GB2312" w:cs="仿宋_GB2312"/>
          <w:b w:val="0"/>
          <w:bCs/>
          <w:sz w:val="28"/>
          <w:szCs w:val="28"/>
        </w:rPr>
        <w:t xml:space="preserve">.1-1  </w:t>
      </w:r>
      <w:r>
        <w:rPr>
          <w:rFonts w:hint="eastAsia" w:ascii="宋体" w:hAnsi="宋体"/>
          <w:b/>
          <w:sz w:val="28"/>
          <w:szCs w:val="28"/>
        </w:rPr>
        <w:t xml:space="preserve">  </w:t>
      </w:r>
      <w:r>
        <w:rPr>
          <w:rFonts w:hint="eastAsia" w:ascii="仿宋_GB2312" w:hAnsi="仿宋_GB2312" w:eastAsia="仿宋_GB2312" w:cs="仿宋_GB2312"/>
          <w:b/>
          <w:sz w:val="28"/>
          <w:szCs w:val="28"/>
        </w:rPr>
        <w:t>清远市清城区危险化学品风险辨识表</w:t>
      </w:r>
    </w:p>
    <w:tbl>
      <w:tblPr>
        <w:tblStyle w:val="12"/>
        <w:tblW w:w="0" w:type="auto"/>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612"/>
        <w:gridCol w:w="684"/>
        <w:gridCol w:w="1300"/>
        <w:gridCol w:w="2083"/>
        <w:gridCol w:w="1717"/>
        <w:gridCol w:w="2450"/>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Align w:val="center"/>
          </w:tcPr>
          <w:p>
            <w:pPr>
              <w:keepNext w:val="0"/>
              <w:keepLines w:val="0"/>
              <w:pageBreakBefore w:val="0"/>
              <w:widowControl/>
              <w:kinsoku/>
              <w:wordWrap/>
              <w:overflowPunct/>
              <w:topLinePunct w:val="0"/>
              <w:autoSpaceDE/>
              <w:autoSpaceDN/>
              <w:bidi w:val="0"/>
              <w:adjustRightInd/>
              <w:snapToGrid/>
              <w:spacing w:after="0" w:line="360" w:lineRule="exact"/>
              <w:ind w:left="0" w:leftChars="0" w:right="0" w:rightChars="0"/>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序号</w:t>
            </w:r>
          </w:p>
        </w:tc>
        <w:tc>
          <w:tcPr>
            <w:tcW w:w="1984" w:type="dxa"/>
            <w:gridSpan w:val="2"/>
            <w:vAlign w:val="center"/>
          </w:tcPr>
          <w:p>
            <w:pPr>
              <w:keepNext w:val="0"/>
              <w:keepLines w:val="0"/>
              <w:pageBreakBefore w:val="0"/>
              <w:widowControl/>
              <w:kinsoku/>
              <w:wordWrap/>
              <w:overflowPunct/>
              <w:topLinePunct w:val="0"/>
              <w:autoSpaceDE/>
              <w:autoSpaceDN/>
              <w:bidi w:val="0"/>
              <w:adjustRightInd/>
              <w:snapToGrid/>
              <w:spacing w:after="0" w:line="360" w:lineRule="exact"/>
              <w:ind w:left="0" w:leftChars="0" w:right="0" w:rightChars="0"/>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危险化学品企业</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ind w:left="0" w:leftChars="0" w:right="0" w:rightChars="0"/>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主要危险场所、设备</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ind w:left="0" w:leftChars="0" w:right="0" w:rightChars="0"/>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主要危险化学品</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ind w:left="0" w:leftChars="0" w:right="0" w:rightChars="0"/>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事故类型</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32" w:hRule="atLeast"/>
          <w:jc w:val="center"/>
        </w:trPr>
        <w:tc>
          <w:tcPr>
            <w:tcW w:w="612" w:type="dxa"/>
            <w:vMerge w:val="restart"/>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684" w:type="dxa"/>
            <w:vMerge w:val="restart"/>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w:t>
            </w:r>
          </w:p>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企业</w:t>
            </w: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涂料行业</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生产车间、储罐区</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油漆、涂料、树脂、稀释剂等</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火灾、爆炸、中毒和窒息</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Merge w:val="continue"/>
            <w:vAlign w:val="center"/>
          </w:tcPr>
          <w:p>
            <w:pPr>
              <w:spacing w:line="300" w:lineRule="atLeast"/>
              <w:jc w:val="center"/>
              <w:rPr>
                <w:rFonts w:hint="eastAsia" w:ascii="仿宋_GB2312" w:hAnsi="仿宋_GB2312" w:eastAsia="仿宋_GB2312" w:cs="仿宋_GB2312"/>
                <w:sz w:val="21"/>
                <w:szCs w:val="21"/>
              </w:rPr>
            </w:pPr>
          </w:p>
        </w:tc>
        <w:tc>
          <w:tcPr>
            <w:tcW w:w="684" w:type="dxa"/>
            <w:vMerge w:val="continue"/>
            <w:vAlign w:val="center"/>
          </w:tcPr>
          <w:p>
            <w:pPr>
              <w:spacing w:line="300" w:lineRule="atLeast"/>
              <w:jc w:val="center"/>
              <w:rPr>
                <w:rFonts w:hint="eastAsia" w:ascii="仿宋_GB2312" w:hAnsi="仿宋_GB2312" w:eastAsia="仿宋_GB2312" w:cs="仿宋_GB2312"/>
                <w:sz w:val="21"/>
                <w:szCs w:val="21"/>
              </w:rPr>
            </w:pP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稀贵金属及其化合物</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生产车间、储罐等</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氢、硫酸</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火灾、化学灼伤</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Merge w:val="continue"/>
            <w:vAlign w:val="center"/>
          </w:tcPr>
          <w:p>
            <w:pPr>
              <w:spacing w:line="300" w:lineRule="atLeast"/>
              <w:jc w:val="center"/>
              <w:rPr>
                <w:rFonts w:hint="eastAsia" w:ascii="仿宋_GB2312" w:hAnsi="仿宋_GB2312" w:eastAsia="仿宋_GB2312" w:cs="仿宋_GB2312"/>
                <w:sz w:val="21"/>
                <w:szCs w:val="21"/>
              </w:rPr>
            </w:pPr>
          </w:p>
        </w:tc>
        <w:tc>
          <w:tcPr>
            <w:tcW w:w="684" w:type="dxa"/>
            <w:vMerge w:val="continue"/>
            <w:vAlign w:val="center"/>
          </w:tcPr>
          <w:p>
            <w:pPr>
              <w:spacing w:line="300" w:lineRule="atLeast"/>
              <w:jc w:val="center"/>
              <w:rPr>
                <w:rFonts w:hint="eastAsia" w:ascii="仿宋_GB2312" w:hAnsi="仿宋_GB2312" w:eastAsia="仿宋_GB2312" w:cs="仿宋_GB2312"/>
                <w:sz w:val="21"/>
                <w:szCs w:val="21"/>
              </w:rPr>
            </w:pP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基础化工</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生产车间、储罐</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甲醛、硫酸</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火灾、中毒和窒息</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化学灼伤</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Merge w:val="continue"/>
            <w:vAlign w:val="center"/>
          </w:tcPr>
          <w:p>
            <w:pPr>
              <w:spacing w:line="300" w:lineRule="atLeast"/>
              <w:jc w:val="center"/>
              <w:rPr>
                <w:rFonts w:hint="eastAsia" w:ascii="仿宋_GB2312" w:hAnsi="仿宋_GB2312" w:eastAsia="仿宋_GB2312" w:cs="仿宋_GB2312"/>
                <w:sz w:val="21"/>
                <w:szCs w:val="21"/>
              </w:rPr>
            </w:pPr>
          </w:p>
        </w:tc>
        <w:tc>
          <w:tcPr>
            <w:tcW w:w="684" w:type="dxa"/>
            <w:vMerge w:val="continue"/>
            <w:vAlign w:val="center"/>
          </w:tcPr>
          <w:p>
            <w:pPr>
              <w:spacing w:line="300" w:lineRule="atLeast"/>
              <w:jc w:val="center"/>
              <w:rPr>
                <w:rFonts w:hint="eastAsia" w:ascii="仿宋_GB2312" w:hAnsi="仿宋_GB2312" w:eastAsia="仿宋_GB2312" w:cs="仿宋_GB2312"/>
                <w:sz w:val="21"/>
                <w:szCs w:val="21"/>
              </w:rPr>
            </w:pP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农药生产</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仓库</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液氯、氰化钾等</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中毒</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69" w:hRule="atLeast"/>
          <w:jc w:val="center"/>
        </w:trPr>
        <w:tc>
          <w:tcPr>
            <w:tcW w:w="612" w:type="dxa"/>
            <w:vMerge w:val="restart"/>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684" w:type="dxa"/>
            <w:vMerge w:val="restart"/>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储存经营企业</w:t>
            </w: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易燃</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液体</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仓库、储罐、装卸台</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易燃液体、</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油漆、柴油</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火灾、爆炸、中毒和窒息</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Merge w:val="continue"/>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684" w:type="dxa"/>
            <w:vMerge w:val="continue"/>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工业</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气体</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储罐、充装车间</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乙炔、氢气、氩气、氮气</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火灾、爆炸、中毒和窒息、容器爆炸、冻伤</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Merge w:val="continue"/>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684" w:type="dxa"/>
            <w:vMerge w:val="continue"/>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腐蚀品储存</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储罐、装卸场所</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硫酸、盐酸</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腐蚀、化学灼伤</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Merge w:val="restart"/>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684" w:type="dxa"/>
            <w:vMerge w:val="restart"/>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使用企业</w:t>
            </w: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液氯</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使用</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使用场所、仓库</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氯气</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中毒</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Merge w:val="continue"/>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684" w:type="dxa"/>
            <w:vMerge w:val="continue"/>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130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液氨</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使用</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制冷车间、储罐</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氨</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中毒、爆炸、灼伤</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4</w:t>
            </w:r>
          </w:p>
        </w:tc>
        <w:tc>
          <w:tcPr>
            <w:tcW w:w="1984" w:type="dxa"/>
            <w:gridSpan w:val="2"/>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加油站</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加油机、储罐等</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汽油、柴油</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火灾、爆炸、</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中毒和窒息</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5</w:t>
            </w:r>
          </w:p>
        </w:tc>
        <w:tc>
          <w:tcPr>
            <w:tcW w:w="1984" w:type="dxa"/>
            <w:gridSpan w:val="2"/>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道路运输企业</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运输公路、</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装卸站场</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易燃液体、压缩气体、</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酸、碱</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火灾、爆炸，中毒，化学灼伤，车辆伤害</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44" w:hRule="atLeast"/>
          <w:jc w:val="center"/>
        </w:trPr>
        <w:tc>
          <w:tcPr>
            <w:tcW w:w="612"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6</w:t>
            </w:r>
          </w:p>
        </w:tc>
        <w:tc>
          <w:tcPr>
            <w:tcW w:w="1984" w:type="dxa"/>
            <w:gridSpan w:val="2"/>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铁路运输</w:t>
            </w:r>
          </w:p>
        </w:tc>
        <w:tc>
          <w:tcPr>
            <w:tcW w:w="2083"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装卸站场、</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铁路线</w:t>
            </w:r>
          </w:p>
        </w:tc>
        <w:tc>
          <w:tcPr>
            <w:tcW w:w="1717"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油品、酸碱</w:t>
            </w:r>
          </w:p>
        </w:tc>
        <w:tc>
          <w:tcPr>
            <w:tcW w:w="2450" w:type="dxa"/>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火灾、爆炸，腐蚀、化学灼伤，中毒和窒息</w:t>
            </w:r>
          </w:p>
        </w:tc>
      </w:tr>
    </w:tbl>
    <w:p>
      <w:pPr>
        <w:rPr>
          <w:rFonts w:hint="eastAsia"/>
          <w:sz w:val="11"/>
          <w:szCs w:val="11"/>
        </w:rPr>
      </w:pP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清远市清城区重大危险源企业主要分布在龙塘镇和横荷街道。其中危险化学品生产单位3家，危险化学品经营与使用单位</w:t>
      </w: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家。构成重大危险源的危险化学品包括液氯、液氨、乙炔气等，全区构成重大危险源企业名单如</w:t>
      </w:r>
      <w:r>
        <w:rPr>
          <w:rFonts w:hint="eastAsia" w:ascii="仿宋_GB2312" w:hAnsi="仿宋_GB2312" w:eastAsia="仿宋_GB2312" w:cs="仿宋_GB2312"/>
          <w:b w:val="0"/>
          <w:bCs/>
          <w:sz w:val="32"/>
          <w:szCs w:val="32"/>
        </w:rPr>
        <w:t>表</w:t>
      </w:r>
      <w:r>
        <w:rPr>
          <w:rFonts w:hint="eastAsia" w:ascii="仿宋_GB2312" w:hAnsi="仿宋_GB2312" w:eastAsia="仿宋_GB2312" w:cs="仿宋_GB2312"/>
          <w:b w:val="0"/>
          <w:bCs/>
          <w:sz w:val="32"/>
          <w:szCs w:val="32"/>
          <w:lang w:val="en-US"/>
        </w:rPr>
        <w:t>10</w:t>
      </w:r>
      <w:r>
        <w:rPr>
          <w:rFonts w:hint="eastAsia" w:ascii="仿宋_GB2312" w:hAnsi="仿宋_GB2312" w:eastAsia="仿宋_GB2312" w:cs="仿宋_GB2312"/>
          <w:b w:val="0"/>
          <w:bCs/>
          <w:sz w:val="32"/>
          <w:szCs w:val="32"/>
        </w:rPr>
        <w:t>.1-2</w:t>
      </w:r>
      <w:r>
        <w:rPr>
          <w:rFonts w:hint="eastAsia" w:ascii="仿宋_GB2312" w:hAnsi="仿宋_GB2312" w:eastAsia="仿宋_GB2312" w:cs="仿宋_GB2312"/>
          <w:sz w:val="32"/>
          <w:szCs w:val="32"/>
          <w:lang w:eastAsia="zh-CN"/>
        </w:rPr>
        <w:t>。</w:t>
      </w:r>
    </w:p>
    <w:p>
      <w:pPr>
        <w:spacing w:before="120" w:beforeLines="50" w:after="120" w:afterLines="50"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b w:val="0"/>
          <w:bCs/>
          <w:sz w:val="28"/>
          <w:szCs w:val="28"/>
        </w:rPr>
        <w:t>表</w:t>
      </w:r>
      <w:r>
        <w:rPr>
          <w:rFonts w:hint="eastAsia" w:ascii="仿宋_GB2312" w:hAnsi="仿宋_GB2312" w:eastAsia="仿宋_GB2312" w:cs="仿宋_GB2312"/>
          <w:b w:val="0"/>
          <w:bCs/>
          <w:sz w:val="28"/>
          <w:szCs w:val="28"/>
          <w:lang w:val="en-US"/>
        </w:rPr>
        <w:t>10</w:t>
      </w:r>
      <w:r>
        <w:rPr>
          <w:rFonts w:hint="eastAsia" w:ascii="仿宋_GB2312" w:hAnsi="仿宋_GB2312" w:eastAsia="仿宋_GB2312" w:cs="仿宋_GB2312"/>
          <w:b w:val="0"/>
          <w:bCs/>
          <w:sz w:val="28"/>
          <w:szCs w:val="28"/>
        </w:rPr>
        <w:t xml:space="preserve">.1-2 </w:t>
      </w:r>
      <w:r>
        <w:rPr>
          <w:rFonts w:hint="eastAsia" w:ascii="宋体" w:hAnsi="宋体"/>
          <w:b/>
          <w:sz w:val="28"/>
          <w:szCs w:val="28"/>
        </w:rPr>
        <w:t xml:space="preserve"> </w:t>
      </w:r>
      <w:r>
        <w:rPr>
          <w:rFonts w:hint="eastAsia" w:ascii="仿宋_GB2312" w:hAnsi="仿宋_GB2312" w:eastAsia="仿宋_GB2312" w:cs="仿宋_GB2312"/>
          <w:b/>
          <w:sz w:val="28"/>
          <w:szCs w:val="28"/>
        </w:rPr>
        <w:t>清城区危险化学品重大危险源单位清单</w:t>
      </w:r>
    </w:p>
    <w:tbl>
      <w:tblPr>
        <w:tblStyle w:val="12"/>
        <w:tblW w:w="0" w:type="auto"/>
        <w:jc w:val="center"/>
        <w:tblLayout w:type="fixed"/>
        <w:tblCellMar>
          <w:top w:w="0" w:type="dxa"/>
          <w:left w:w="0" w:type="dxa"/>
          <w:bottom w:w="0" w:type="dxa"/>
          <w:right w:w="0" w:type="dxa"/>
        </w:tblCellMar>
      </w:tblPr>
      <w:tblGrid>
        <w:gridCol w:w="586"/>
        <w:gridCol w:w="2033"/>
        <w:gridCol w:w="1301"/>
        <w:gridCol w:w="1249"/>
        <w:gridCol w:w="1167"/>
        <w:gridCol w:w="1763"/>
        <w:gridCol w:w="887"/>
      </w:tblGrid>
      <w:tr>
        <w:tblPrEx>
          <w:tblCellMar>
            <w:top w:w="0" w:type="dxa"/>
            <w:left w:w="0" w:type="dxa"/>
            <w:bottom w:w="0" w:type="dxa"/>
            <w:right w:w="0" w:type="dxa"/>
          </w:tblCellMar>
        </w:tblPrEx>
        <w:trPr>
          <w:trHeight w:val="537" w:hRule="atLeast"/>
          <w:jc w:val="center"/>
        </w:trPr>
        <w:tc>
          <w:tcPr>
            <w:tcW w:w="5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序号</w:t>
            </w:r>
          </w:p>
        </w:tc>
        <w:tc>
          <w:tcPr>
            <w:tcW w:w="20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企业名称</w:t>
            </w: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重大危险源</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名称</w:t>
            </w:r>
          </w:p>
        </w:tc>
        <w:tc>
          <w:tcPr>
            <w:tcW w:w="12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重大危险源级别</w:t>
            </w:r>
          </w:p>
        </w:tc>
        <w:tc>
          <w:tcPr>
            <w:tcW w:w="11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储存物料</w:t>
            </w:r>
          </w:p>
        </w:tc>
        <w:tc>
          <w:tcPr>
            <w:tcW w:w="17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地址</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企业</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类型</w:t>
            </w:r>
          </w:p>
        </w:tc>
      </w:tr>
      <w:tr>
        <w:tblPrEx>
          <w:tblCellMar>
            <w:top w:w="0" w:type="dxa"/>
            <w:left w:w="0" w:type="dxa"/>
            <w:bottom w:w="0" w:type="dxa"/>
            <w:right w:w="0" w:type="dxa"/>
          </w:tblCellMar>
        </w:tblPrEx>
        <w:trPr>
          <w:trHeight w:val="829" w:hRule="atLeast"/>
          <w:jc w:val="center"/>
        </w:trPr>
        <w:tc>
          <w:tcPr>
            <w:tcW w:w="5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1</w:t>
            </w:r>
          </w:p>
        </w:tc>
        <w:tc>
          <w:tcPr>
            <w:tcW w:w="20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清远市联升空气液化有限公司</w:t>
            </w: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氧储罐</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单元</w:t>
            </w:r>
          </w:p>
        </w:tc>
        <w:tc>
          <w:tcPr>
            <w:tcW w:w="12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三级</w:t>
            </w:r>
          </w:p>
        </w:tc>
        <w:tc>
          <w:tcPr>
            <w:tcW w:w="11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液氧</w:t>
            </w:r>
          </w:p>
        </w:tc>
        <w:tc>
          <w:tcPr>
            <w:tcW w:w="17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清远市高新区（横荷街道）</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危化</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w:t>
            </w:r>
          </w:p>
        </w:tc>
      </w:tr>
      <w:tr>
        <w:tblPrEx>
          <w:tblCellMar>
            <w:top w:w="0" w:type="dxa"/>
            <w:left w:w="0" w:type="dxa"/>
            <w:bottom w:w="0" w:type="dxa"/>
            <w:right w:w="0" w:type="dxa"/>
          </w:tblCellMar>
        </w:tblPrEx>
        <w:trPr>
          <w:trHeight w:val="1039" w:hRule="atLeast"/>
          <w:jc w:val="center"/>
        </w:trPr>
        <w:tc>
          <w:tcPr>
            <w:tcW w:w="5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2</w:t>
            </w:r>
          </w:p>
        </w:tc>
        <w:tc>
          <w:tcPr>
            <w:tcW w:w="20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清远市锐通气体有限公司</w:t>
            </w: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乙炔生产车间单元</w:t>
            </w:r>
          </w:p>
        </w:tc>
        <w:tc>
          <w:tcPr>
            <w:tcW w:w="12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四级</w:t>
            </w:r>
          </w:p>
        </w:tc>
        <w:tc>
          <w:tcPr>
            <w:tcW w:w="11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溶解乙炔气</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甲酰二甲胺</w:t>
            </w:r>
          </w:p>
        </w:tc>
        <w:tc>
          <w:tcPr>
            <w:tcW w:w="17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清远市高新区（龙塘镇）</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危化</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w:t>
            </w:r>
          </w:p>
        </w:tc>
      </w:tr>
      <w:tr>
        <w:tblPrEx>
          <w:tblCellMar>
            <w:top w:w="0" w:type="dxa"/>
            <w:left w:w="0" w:type="dxa"/>
            <w:bottom w:w="0" w:type="dxa"/>
            <w:right w:w="0" w:type="dxa"/>
          </w:tblCellMar>
        </w:tblPrEx>
        <w:trPr>
          <w:trHeight w:val="1219" w:hRule="atLeast"/>
          <w:jc w:val="center"/>
        </w:trPr>
        <w:tc>
          <w:tcPr>
            <w:tcW w:w="5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3</w:t>
            </w:r>
          </w:p>
        </w:tc>
        <w:tc>
          <w:tcPr>
            <w:tcW w:w="20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清远先导材料有限公司</w:t>
            </w: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甲类仓库</w:t>
            </w:r>
          </w:p>
        </w:tc>
        <w:tc>
          <w:tcPr>
            <w:tcW w:w="12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三级</w:t>
            </w:r>
          </w:p>
        </w:tc>
        <w:tc>
          <w:tcPr>
            <w:tcW w:w="11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磷化氢、砷化氢、氢</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锗烷</w:t>
            </w:r>
          </w:p>
        </w:tc>
        <w:tc>
          <w:tcPr>
            <w:tcW w:w="17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清远市高新区（横荷街道）</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危化</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w:t>
            </w:r>
          </w:p>
        </w:tc>
      </w:tr>
      <w:tr>
        <w:tblPrEx>
          <w:tblCellMar>
            <w:top w:w="0" w:type="dxa"/>
            <w:left w:w="0" w:type="dxa"/>
            <w:bottom w:w="0" w:type="dxa"/>
            <w:right w:w="0" w:type="dxa"/>
          </w:tblCellMar>
        </w:tblPrEx>
        <w:trPr>
          <w:trHeight w:val="964" w:hRule="atLeast"/>
          <w:jc w:val="center"/>
        </w:trPr>
        <w:tc>
          <w:tcPr>
            <w:tcW w:w="5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bookmarkStart w:id="297" w:name="_Toc492822619"/>
            <w:bookmarkStart w:id="298" w:name="_Toc13738"/>
            <w:r>
              <w:rPr>
                <w:rFonts w:hint="eastAsia" w:ascii="仿宋_GB2312" w:hAnsi="仿宋_GB2312" w:eastAsia="仿宋_GB2312" w:cs="仿宋_GB2312"/>
                <w:sz w:val="21"/>
                <w:szCs w:val="21"/>
                <w:lang w:val="en-US"/>
              </w:rPr>
              <w:t>4</w:t>
            </w:r>
          </w:p>
        </w:tc>
        <w:tc>
          <w:tcPr>
            <w:tcW w:w="20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蒙牛乳业（清远）有限公司</w:t>
            </w:r>
          </w:p>
        </w:tc>
        <w:tc>
          <w:tcPr>
            <w:tcW w:w="13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液氨储罐</w:t>
            </w:r>
          </w:p>
        </w:tc>
        <w:tc>
          <w:tcPr>
            <w:tcW w:w="124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四级</w:t>
            </w:r>
          </w:p>
        </w:tc>
        <w:tc>
          <w:tcPr>
            <w:tcW w:w="11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液氨</w:t>
            </w:r>
          </w:p>
        </w:tc>
        <w:tc>
          <w:tcPr>
            <w:tcW w:w="17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清远市高新区（横荷街道）</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工贸</w:t>
            </w:r>
          </w:p>
        </w:tc>
      </w:tr>
    </w:tbl>
    <w:p>
      <w:pPr>
        <w:pStyle w:val="2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重大危险源管理是国家对危险化学品进行管控的重要举措，企业应该根据《危险化学品重大危险源监督管理暂行规定》的要求，对构成重大危险源的场所及时进行评估备案，制定重大危险源事故应急预案，建立应急救援组织或者配备应急救援人员，配备必要的防护装备及应急救援器材、设备、物资，并保障其完好和方便使用。</w:t>
      </w:r>
      <w:bookmarkStart w:id="299" w:name="_Toc30985"/>
      <w:bookmarkStart w:id="300" w:name="_Toc7385"/>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left"/>
        <w:textAlignment w:val="auto"/>
        <w:rPr>
          <w:rFonts w:hint="eastAsia" w:ascii="黑体" w:hAnsi="黑体" w:eastAsia="黑体" w:cs="黑体"/>
          <w:b w:val="0"/>
          <w:bCs/>
          <w:kern w:val="2"/>
          <w:sz w:val="32"/>
          <w:szCs w:val="24"/>
          <w:lang w:val="en-US" w:eastAsia="zh-CN"/>
        </w:rPr>
      </w:pPr>
      <w:bookmarkStart w:id="301" w:name="_Toc6283"/>
      <w:r>
        <w:rPr>
          <w:rFonts w:hint="eastAsia" w:ascii="黑体" w:hAnsi="黑体" w:eastAsia="黑体" w:cs="黑体"/>
          <w:b w:val="0"/>
          <w:bCs/>
          <w:kern w:val="2"/>
          <w:sz w:val="32"/>
          <w:szCs w:val="24"/>
          <w:lang w:val="en-US" w:eastAsia="zh-CN"/>
        </w:rPr>
        <w:t>10.2 应急资源调查</w:t>
      </w:r>
      <w:bookmarkEnd w:id="299"/>
      <w:bookmarkEnd w:id="300"/>
      <w:bookmarkEnd w:id="301"/>
    </w:p>
    <w:p>
      <w:pPr>
        <w:pStyle w:val="25"/>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lang w:bidi="zh-TW"/>
        </w:rPr>
      </w:pPr>
      <w:r>
        <w:rPr>
          <w:rFonts w:hint="eastAsia" w:ascii="仿宋_GB2312" w:hAnsi="仿宋_GB2312" w:eastAsia="仿宋_GB2312" w:cs="仿宋_GB2312"/>
          <w:b/>
          <w:bCs/>
          <w:kern w:val="0"/>
          <w:sz w:val="32"/>
          <w:szCs w:val="32"/>
          <w:lang w:bidi="zh-TW"/>
        </w:rPr>
        <w:t>（1）危险化学品监管队伍</w:t>
      </w:r>
    </w:p>
    <w:p>
      <w:pPr>
        <w:pStyle w:val="25"/>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s="宋体"/>
          <w:color w:val="auto"/>
          <w:kern w:val="0"/>
          <w:sz w:val="28"/>
          <w:szCs w:val="28"/>
          <w:highlight w:val="none"/>
          <w:lang w:bidi="zh-TW"/>
        </w:rPr>
      </w:pPr>
      <w:r>
        <w:rPr>
          <w:rFonts w:hint="eastAsia" w:ascii="仿宋_GB2312" w:hAnsi="仿宋_GB2312" w:eastAsia="仿宋_GB2312" w:cs="仿宋_GB2312"/>
          <w:color w:val="auto"/>
          <w:kern w:val="0"/>
          <w:sz w:val="32"/>
          <w:szCs w:val="32"/>
          <w:highlight w:val="none"/>
          <w:lang w:bidi="zh-TW"/>
        </w:rPr>
        <w:t>区级从事危化品监管人员/工作人员共5人（含分管领导，其中公务员3人，政府购买服务人员</w:t>
      </w:r>
      <w:r>
        <w:rPr>
          <w:rFonts w:hint="eastAsia" w:ascii="仿宋_GB2312" w:hAnsi="仿宋_GB2312" w:eastAsia="仿宋_GB2312" w:cs="仿宋_GB2312"/>
          <w:color w:val="auto"/>
          <w:kern w:val="0"/>
          <w:sz w:val="32"/>
          <w:szCs w:val="32"/>
          <w:highlight w:val="none"/>
          <w:lang w:val="en-US" w:eastAsia="zh-CN" w:bidi="zh-TW"/>
        </w:rPr>
        <w:t>2</w:t>
      </w:r>
      <w:r>
        <w:rPr>
          <w:rFonts w:hint="eastAsia" w:ascii="仿宋_GB2312" w:hAnsi="仿宋_GB2312" w:eastAsia="仿宋_GB2312" w:cs="仿宋_GB2312"/>
          <w:color w:val="auto"/>
          <w:kern w:val="0"/>
          <w:sz w:val="32"/>
          <w:szCs w:val="32"/>
          <w:highlight w:val="none"/>
          <w:lang w:bidi="zh-TW"/>
        </w:rPr>
        <w:t>人），其中：化工专业1人，安全专业1人）。</w:t>
      </w:r>
    </w:p>
    <w:p>
      <w:pPr>
        <w:pStyle w:val="25"/>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lang w:bidi="zh-TW"/>
        </w:rPr>
      </w:pPr>
      <w:r>
        <w:rPr>
          <w:rFonts w:hint="eastAsia" w:ascii="仿宋_GB2312" w:hAnsi="仿宋_GB2312" w:eastAsia="仿宋_GB2312" w:cs="仿宋_GB2312"/>
          <w:b/>
          <w:bCs/>
          <w:kern w:val="0"/>
          <w:sz w:val="32"/>
          <w:szCs w:val="32"/>
          <w:lang w:val="en-US" w:bidi="zh-TW"/>
        </w:rPr>
        <w:t>（2）危险化学品事故应急救援队伍</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目前，广东省有6个省级以上危险化学品应急救援基地，分别位于韶关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茂名、湛江、惠州、珠海、东莞等地，如果清远市清城区发生危险化学品事故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可提供应急支援。</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清远市清城区作为危险化学品生产、储存、经营、使用企业较多的地区，消防救援力量依然是危险化学品事故应急救援的主力军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现阶段，全区有专业消防救援队伍</w:t>
      </w:r>
      <w:r>
        <w:rPr>
          <w:rFonts w:hint="eastAsia" w:ascii="仿宋_GB2312" w:hAnsi="仿宋_GB2312" w:eastAsia="仿宋_GB2312" w:cs="仿宋_GB2312"/>
          <w:sz w:val="32"/>
          <w:szCs w:val="32"/>
          <w:lang w:val="en-US"/>
        </w:rPr>
        <w:t>4</w:t>
      </w:r>
      <w:r>
        <w:rPr>
          <w:rFonts w:hint="eastAsia" w:ascii="仿宋_GB2312" w:hAnsi="仿宋_GB2312" w:eastAsia="仿宋_GB2312" w:cs="仿宋_GB2312"/>
          <w:sz w:val="32"/>
          <w:szCs w:val="32"/>
        </w:rPr>
        <w:t>支，总计有消防队员</w:t>
      </w:r>
      <w:r>
        <w:rPr>
          <w:rFonts w:hint="eastAsia" w:ascii="仿宋_GB2312" w:hAnsi="仿宋_GB2312" w:eastAsia="仿宋_GB2312" w:cs="仿宋_GB2312"/>
          <w:sz w:val="32"/>
          <w:szCs w:val="32"/>
          <w:lang w:val="en-US"/>
        </w:rPr>
        <w:t>48</w:t>
      </w:r>
      <w:r>
        <w:rPr>
          <w:rFonts w:hint="eastAsia" w:ascii="仿宋_GB2312" w:hAnsi="仿宋_GB2312" w:eastAsia="仿宋_GB2312" w:cs="仿宋_GB2312"/>
          <w:sz w:val="32"/>
          <w:szCs w:val="32"/>
        </w:rPr>
        <w:t>人，消防车辆</w:t>
      </w:r>
      <w:r>
        <w:rPr>
          <w:rFonts w:hint="eastAsia" w:ascii="仿宋_GB2312" w:hAnsi="仿宋_GB2312" w:eastAsia="仿宋_GB2312" w:cs="仿宋_GB2312"/>
          <w:sz w:val="32"/>
          <w:szCs w:val="32"/>
          <w:lang w:val="en-US"/>
        </w:rPr>
        <w:t>11</w:t>
      </w:r>
      <w:r>
        <w:rPr>
          <w:rFonts w:hint="eastAsia" w:ascii="仿宋_GB2312" w:hAnsi="仿宋_GB2312" w:eastAsia="仿宋_GB2312" w:cs="仿宋_GB2312"/>
          <w:sz w:val="32"/>
          <w:szCs w:val="32"/>
        </w:rPr>
        <w:t>辆，消防救援设备</w:t>
      </w:r>
      <w:r>
        <w:rPr>
          <w:rFonts w:hint="eastAsia" w:ascii="仿宋_GB2312" w:hAnsi="仿宋_GB2312" w:eastAsia="仿宋_GB2312" w:cs="仿宋_GB2312"/>
          <w:sz w:val="32"/>
          <w:szCs w:val="32"/>
          <w:lang w:val="en-US"/>
        </w:rPr>
        <w:t>5908</w:t>
      </w:r>
      <w:r>
        <w:rPr>
          <w:rFonts w:hint="eastAsia" w:ascii="仿宋_GB2312" w:hAnsi="仿宋_GB2312" w:eastAsia="仿宋_GB2312" w:cs="仿宋_GB2312"/>
          <w:sz w:val="32"/>
          <w:szCs w:val="32"/>
        </w:rPr>
        <w:t>套。</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清远市清城区危险化学品生产、经营及储存、使用企业，基本建立了危险化学品事故应急救援兼职消防队或义务消防队，配备了必要的应急救援设备和设施，编制了危险化学品事故应急预案，并进行了危险化学品事故应急演练，可满足一般危险化学品事故的初期应急处置。</w:t>
      </w:r>
    </w:p>
    <w:p>
      <w:pPr>
        <w:keepNext w:val="0"/>
        <w:keepLines w:val="0"/>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sectPr>
          <w:footerReference r:id="rId8" w:type="default"/>
          <w:pgSz w:w="11906" w:h="16838"/>
          <w:pgMar w:top="1418" w:right="1418" w:bottom="1418" w:left="1418" w:header="851" w:footer="992" w:gutter="0"/>
          <w:pgNumType w:fmt="numberInDash" w:start="1"/>
          <w:cols w:space="720" w:num="1"/>
          <w:docGrid w:linePitch="312" w:charSpace="0"/>
        </w:sectPr>
      </w:pPr>
      <w:r>
        <w:rPr>
          <w:rFonts w:hint="eastAsia" w:ascii="仿宋_GB2312" w:hAnsi="仿宋_GB2312" w:eastAsia="仿宋_GB2312" w:cs="仿宋_GB2312"/>
          <w:sz w:val="32"/>
          <w:szCs w:val="32"/>
        </w:rPr>
        <w:t>清城区应急队伍及应急物资装备如表</w:t>
      </w:r>
      <w:r>
        <w:rPr>
          <w:rFonts w:hint="eastAsia" w:ascii="仿宋_GB2312" w:hAnsi="仿宋_GB2312" w:eastAsia="仿宋_GB2312" w:cs="仿宋_GB2312"/>
          <w:sz w:val="32"/>
          <w:szCs w:val="32"/>
          <w:lang w:val="en-US"/>
        </w:rPr>
        <w:t>10</w:t>
      </w:r>
      <w:r>
        <w:rPr>
          <w:rFonts w:hint="eastAsia" w:ascii="仿宋_GB2312" w:hAnsi="仿宋_GB2312" w:eastAsia="仿宋_GB2312" w:cs="仿宋_GB2312"/>
          <w:sz w:val="32"/>
          <w:szCs w:val="32"/>
        </w:rPr>
        <w:t>.2-1，清城区医疗救护资源如表</w:t>
      </w:r>
      <w:r>
        <w:rPr>
          <w:rFonts w:hint="eastAsia" w:ascii="仿宋_GB2312" w:hAnsi="仿宋_GB2312" w:eastAsia="仿宋_GB2312" w:cs="仿宋_GB2312"/>
          <w:sz w:val="32"/>
          <w:szCs w:val="32"/>
          <w:lang w:val="en-US"/>
        </w:rPr>
        <w:t>10</w:t>
      </w:r>
      <w:r>
        <w:rPr>
          <w:rFonts w:hint="eastAsia" w:ascii="仿宋_GB2312" w:hAnsi="仿宋_GB2312" w:eastAsia="仿宋_GB2312" w:cs="仿宋_GB2312"/>
          <w:sz w:val="32"/>
          <w:szCs w:val="32"/>
        </w:rPr>
        <w:t>.2-2。</w:t>
      </w:r>
    </w:p>
    <w:p>
      <w:pPr>
        <w:spacing w:before="120" w:beforeLines="50" w:after="120" w:afterLines="50" w:line="5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val="0"/>
          <w:bCs/>
          <w:sz w:val="28"/>
          <w:szCs w:val="28"/>
        </w:rPr>
        <w:t>表</w:t>
      </w:r>
      <w:r>
        <w:rPr>
          <w:rFonts w:hint="eastAsia" w:ascii="仿宋_GB2312" w:hAnsi="仿宋_GB2312" w:eastAsia="仿宋_GB2312" w:cs="仿宋_GB2312"/>
          <w:b w:val="0"/>
          <w:bCs/>
          <w:sz w:val="28"/>
          <w:szCs w:val="28"/>
          <w:lang w:val="en-US"/>
        </w:rPr>
        <w:t>10</w:t>
      </w:r>
      <w:r>
        <w:rPr>
          <w:rFonts w:hint="eastAsia" w:ascii="仿宋_GB2312" w:hAnsi="仿宋_GB2312" w:eastAsia="仿宋_GB2312" w:cs="仿宋_GB2312"/>
          <w:b w:val="0"/>
          <w:bCs/>
          <w:sz w:val="28"/>
          <w:szCs w:val="28"/>
        </w:rPr>
        <w:t xml:space="preserve">.2-1 </w:t>
      </w:r>
      <w:r>
        <w:rPr>
          <w:rFonts w:hint="eastAsia" w:ascii="宋体" w:hAnsi="宋体"/>
          <w:b/>
          <w:sz w:val="28"/>
          <w:szCs w:val="28"/>
        </w:rPr>
        <w:t xml:space="preserve">      </w:t>
      </w:r>
      <w:r>
        <w:rPr>
          <w:rFonts w:hint="eastAsia" w:ascii="仿宋_GB2312" w:hAnsi="仿宋_GB2312" w:eastAsia="仿宋_GB2312" w:cs="仿宋_GB2312"/>
          <w:b/>
          <w:sz w:val="28"/>
          <w:szCs w:val="28"/>
        </w:rPr>
        <w:t>清城区消防救援队伍执勤实力统计表</w:t>
      </w:r>
    </w:p>
    <w:tbl>
      <w:tblPr>
        <w:tblStyle w:val="12"/>
        <w:tblW w:w="0" w:type="auto"/>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0" w:type="dxa"/>
          <w:bottom w:w="0" w:type="dxa"/>
          <w:right w:w="0" w:type="dxa"/>
        </w:tblCellMar>
      </w:tblPr>
      <w:tblGrid>
        <w:gridCol w:w="1001"/>
        <w:gridCol w:w="1817"/>
        <w:gridCol w:w="1200"/>
        <w:gridCol w:w="1266"/>
        <w:gridCol w:w="1334"/>
        <w:gridCol w:w="1266"/>
        <w:gridCol w:w="1834"/>
        <w:gridCol w:w="4097"/>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95" w:hRule="atLeast"/>
          <w:tblHeader/>
          <w:jc w:val="center"/>
        </w:trPr>
        <w:tc>
          <w:tcPr>
            <w:tcW w:w="2818" w:type="dxa"/>
            <w:gridSpan w:val="2"/>
            <w:vMerge w:val="restart"/>
            <w:tcMar>
              <w:top w:w="15" w:type="dxa"/>
              <w:left w:w="15" w:type="dxa"/>
              <w:right w:w="15" w:type="dxa"/>
            </w:tcMar>
            <w:vAlign w:val="center"/>
          </w:tcPr>
          <w:p>
            <w:pPr>
              <w:spacing w:line="300" w:lineRule="atLeas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单位名称</w:t>
            </w:r>
          </w:p>
        </w:tc>
        <w:tc>
          <w:tcPr>
            <w:tcW w:w="2466" w:type="dxa"/>
            <w:gridSpan w:val="2"/>
            <w:tcMar>
              <w:top w:w="15" w:type="dxa"/>
              <w:left w:w="15" w:type="dxa"/>
              <w:right w:w="15" w:type="dxa"/>
            </w:tcMar>
            <w:vAlign w:val="center"/>
          </w:tcPr>
          <w:p>
            <w:pPr>
              <w:spacing w:line="300" w:lineRule="atLeas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人数</w:t>
            </w:r>
          </w:p>
        </w:tc>
        <w:tc>
          <w:tcPr>
            <w:tcW w:w="1334" w:type="dxa"/>
            <w:vMerge w:val="restart"/>
            <w:tcMar>
              <w:top w:w="15" w:type="dxa"/>
              <w:left w:w="15" w:type="dxa"/>
              <w:right w:w="15" w:type="dxa"/>
            </w:tcMar>
            <w:vAlign w:val="center"/>
          </w:tcPr>
          <w:p>
            <w:pPr>
              <w:spacing w:line="300" w:lineRule="atLeas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执勤车辆</w:t>
            </w:r>
          </w:p>
        </w:tc>
        <w:tc>
          <w:tcPr>
            <w:tcW w:w="1266" w:type="dxa"/>
            <w:vMerge w:val="restart"/>
            <w:tcMar>
              <w:top w:w="15" w:type="dxa"/>
              <w:left w:w="15" w:type="dxa"/>
              <w:right w:w="15" w:type="dxa"/>
            </w:tcMar>
            <w:vAlign w:val="center"/>
          </w:tcPr>
          <w:p>
            <w:pPr>
              <w:spacing w:line="300" w:lineRule="atLeas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装备</w:t>
            </w:r>
          </w:p>
          <w:p>
            <w:pPr>
              <w:spacing w:line="300" w:lineRule="atLeas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（件</w:t>
            </w:r>
            <w:r>
              <w:rPr>
                <w:rFonts w:hint="eastAsia" w:ascii="仿宋_GB2312" w:hAnsi="仿宋_GB2312" w:eastAsia="仿宋_GB2312" w:cs="仿宋_GB2312"/>
                <w:b/>
                <w:sz w:val="21"/>
                <w:szCs w:val="21"/>
                <w:lang w:eastAsia="zh-CN"/>
              </w:rPr>
              <w:t>、</w:t>
            </w:r>
            <w:r>
              <w:rPr>
                <w:rFonts w:hint="eastAsia" w:ascii="仿宋_GB2312" w:hAnsi="仿宋_GB2312" w:eastAsia="仿宋_GB2312" w:cs="仿宋_GB2312"/>
                <w:b/>
                <w:sz w:val="21"/>
                <w:szCs w:val="21"/>
              </w:rPr>
              <w:t>套）</w:t>
            </w:r>
          </w:p>
        </w:tc>
        <w:tc>
          <w:tcPr>
            <w:tcW w:w="1834" w:type="dxa"/>
            <w:vMerge w:val="restart"/>
            <w:tcMar>
              <w:top w:w="15" w:type="dxa"/>
              <w:left w:w="15" w:type="dxa"/>
              <w:right w:w="15" w:type="dxa"/>
            </w:tcMar>
            <w:vAlign w:val="center"/>
          </w:tcPr>
          <w:p>
            <w:pPr>
              <w:spacing w:line="300" w:lineRule="atLeast"/>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值班电话</w:t>
            </w:r>
          </w:p>
        </w:tc>
        <w:tc>
          <w:tcPr>
            <w:tcW w:w="4097" w:type="dxa"/>
            <w:vMerge w:val="restart"/>
            <w:tcMar>
              <w:top w:w="15" w:type="dxa"/>
              <w:left w:w="15" w:type="dxa"/>
              <w:right w:w="15" w:type="dxa"/>
            </w:tcMar>
            <w:vAlign w:val="center"/>
          </w:tcPr>
          <w:p>
            <w:pPr>
              <w:spacing w:line="300" w:lineRule="atLeast"/>
              <w:ind w:left="72" w:leftChars="30" w:right="72" w:rightChars="30"/>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队站地址</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295" w:hRule="atLeast"/>
          <w:tblHeader/>
          <w:jc w:val="center"/>
        </w:trPr>
        <w:tc>
          <w:tcPr>
            <w:tcW w:w="2818" w:type="dxa"/>
            <w:gridSpan w:val="2"/>
            <w:vMerge w:val="continue"/>
            <w:tcMar>
              <w:top w:w="15" w:type="dxa"/>
              <w:left w:w="15" w:type="dxa"/>
              <w:right w:w="15" w:type="dxa"/>
            </w:tcMar>
            <w:vAlign w:val="center"/>
          </w:tcPr>
          <w:p>
            <w:pPr>
              <w:jc w:val="center"/>
              <w:rPr>
                <w:rFonts w:hint="eastAsia" w:ascii="宋体" w:hAnsi="宋体" w:eastAsia="宋体" w:cs="宋体"/>
                <w:sz w:val="21"/>
                <w:szCs w:val="21"/>
              </w:rPr>
            </w:pPr>
          </w:p>
        </w:tc>
        <w:tc>
          <w:tcPr>
            <w:tcW w:w="12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干部</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宋体" w:hAnsi="宋体" w:eastAsia="宋体" w:cs="宋体"/>
                <w:b/>
                <w:sz w:val="21"/>
                <w:szCs w:val="21"/>
              </w:rPr>
            </w:pPr>
            <w:r>
              <w:rPr>
                <w:rFonts w:hint="eastAsia" w:ascii="宋体" w:hAnsi="宋体" w:eastAsia="宋体" w:cs="宋体"/>
                <w:b/>
                <w:sz w:val="21"/>
                <w:szCs w:val="21"/>
              </w:rPr>
              <w:t>消防员</w:t>
            </w:r>
          </w:p>
        </w:tc>
        <w:tc>
          <w:tcPr>
            <w:tcW w:w="1334" w:type="dxa"/>
            <w:vMerge w:val="continue"/>
            <w:tcMar>
              <w:top w:w="15" w:type="dxa"/>
              <w:left w:w="15" w:type="dxa"/>
              <w:right w:w="15" w:type="dxa"/>
            </w:tcMar>
            <w:vAlign w:val="center"/>
          </w:tcPr>
          <w:p>
            <w:pPr>
              <w:jc w:val="center"/>
              <w:rPr>
                <w:rFonts w:hint="eastAsia" w:ascii="宋体" w:hAnsi="宋体" w:eastAsia="宋体" w:cs="宋体"/>
                <w:sz w:val="21"/>
                <w:szCs w:val="21"/>
              </w:rPr>
            </w:pPr>
          </w:p>
        </w:tc>
        <w:tc>
          <w:tcPr>
            <w:tcW w:w="1266" w:type="dxa"/>
            <w:vMerge w:val="continue"/>
            <w:tcMar>
              <w:top w:w="15" w:type="dxa"/>
              <w:left w:w="15" w:type="dxa"/>
              <w:right w:w="15" w:type="dxa"/>
            </w:tcMar>
            <w:vAlign w:val="center"/>
          </w:tcPr>
          <w:p>
            <w:pPr>
              <w:jc w:val="center"/>
              <w:rPr>
                <w:rFonts w:hint="eastAsia" w:ascii="宋体" w:hAnsi="宋体" w:eastAsia="宋体" w:cs="宋体"/>
                <w:sz w:val="21"/>
                <w:szCs w:val="21"/>
              </w:rPr>
            </w:pPr>
          </w:p>
        </w:tc>
        <w:tc>
          <w:tcPr>
            <w:tcW w:w="1834" w:type="dxa"/>
            <w:vMerge w:val="continue"/>
            <w:tcMar>
              <w:top w:w="15" w:type="dxa"/>
              <w:left w:w="15" w:type="dxa"/>
              <w:right w:w="15" w:type="dxa"/>
            </w:tcMar>
            <w:vAlign w:val="center"/>
          </w:tcPr>
          <w:p>
            <w:pPr>
              <w:jc w:val="center"/>
              <w:rPr>
                <w:rFonts w:hint="eastAsia" w:ascii="宋体" w:hAnsi="宋体" w:eastAsia="宋体" w:cs="宋体"/>
                <w:sz w:val="21"/>
                <w:szCs w:val="21"/>
              </w:rPr>
            </w:pPr>
          </w:p>
        </w:tc>
        <w:tc>
          <w:tcPr>
            <w:tcW w:w="4097" w:type="dxa"/>
            <w:vMerge w:val="continue"/>
            <w:tcMar>
              <w:top w:w="15" w:type="dxa"/>
              <w:left w:w="15" w:type="dxa"/>
              <w:right w:w="15" w:type="dxa"/>
            </w:tcMar>
            <w:vAlign w:val="center"/>
          </w:tcPr>
          <w:p>
            <w:pPr>
              <w:ind w:left="72" w:leftChars="30" w:right="72" w:rightChars="30"/>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697" w:hRule="atLeast"/>
          <w:jc w:val="center"/>
        </w:trPr>
        <w:tc>
          <w:tcPr>
            <w:tcW w:w="1001" w:type="dxa"/>
            <w:vMerge w:val="restart"/>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清城区大队</w:t>
            </w:r>
          </w:p>
        </w:tc>
        <w:tc>
          <w:tcPr>
            <w:tcW w:w="181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大队部</w:t>
            </w:r>
          </w:p>
        </w:tc>
        <w:tc>
          <w:tcPr>
            <w:tcW w:w="12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18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0763-3330119</w:t>
            </w:r>
          </w:p>
        </w:tc>
        <w:tc>
          <w:tcPr>
            <w:tcW w:w="409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清城区东城街道附城大道</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1001" w:type="dxa"/>
            <w:vMerge w:val="continue"/>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p>
        </w:tc>
        <w:tc>
          <w:tcPr>
            <w:tcW w:w="181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清城中队</w:t>
            </w:r>
          </w:p>
        </w:tc>
        <w:tc>
          <w:tcPr>
            <w:tcW w:w="12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23</w:t>
            </w:r>
          </w:p>
        </w:tc>
        <w:tc>
          <w:tcPr>
            <w:tcW w:w="13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2364</w:t>
            </w:r>
          </w:p>
        </w:tc>
        <w:tc>
          <w:tcPr>
            <w:tcW w:w="18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0763-3330119</w:t>
            </w:r>
          </w:p>
        </w:tc>
        <w:tc>
          <w:tcPr>
            <w:tcW w:w="409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清城区东城街道附城大道</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1001" w:type="dxa"/>
            <w:vMerge w:val="continue"/>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p>
        </w:tc>
        <w:tc>
          <w:tcPr>
            <w:tcW w:w="181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洲心中队</w:t>
            </w:r>
          </w:p>
        </w:tc>
        <w:tc>
          <w:tcPr>
            <w:tcW w:w="12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14</w:t>
            </w:r>
          </w:p>
        </w:tc>
        <w:tc>
          <w:tcPr>
            <w:tcW w:w="13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442</w:t>
            </w:r>
          </w:p>
        </w:tc>
        <w:tc>
          <w:tcPr>
            <w:tcW w:w="18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0763-3315119</w:t>
            </w:r>
          </w:p>
        </w:tc>
        <w:tc>
          <w:tcPr>
            <w:tcW w:w="409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清城区洲心街道凤鸣路5号</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864" w:hRule="atLeast"/>
          <w:jc w:val="center"/>
        </w:trPr>
        <w:tc>
          <w:tcPr>
            <w:tcW w:w="1001" w:type="dxa"/>
            <w:vMerge w:val="continue"/>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p>
        </w:tc>
        <w:tc>
          <w:tcPr>
            <w:tcW w:w="181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横荷中队</w:t>
            </w:r>
          </w:p>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(战保大队)</w:t>
            </w:r>
          </w:p>
        </w:tc>
        <w:tc>
          <w:tcPr>
            <w:tcW w:w="12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w:t>
            </w:r>
          </w:p>
        </w:tc>
        <w:tc>
          <w:tcPr>
            <w:tcW w:w="13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3102</w:t>
            </w:r>
          </w:p>
        </w:tc>
        <w:tc>
          <w:tcPr>
            <w:tcW w:w="18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0763-3119061</w:t>
            </w:r>
          </w:p>
        </w:tc>
        <w:tc>
          <w:tcPr>
            <w:tcW w:w="409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清城区横荷街富强路消防</w:t>
            </w:r>
          </w:p>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支队营区</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841" w:hRule="atLeast"/>
          <w:jc w:val="center"/>
        </w:trPr>
        <w:tc>
          <w:tcPr>
            <w:tcW w:w="2818" w:type="dxa"/>
            <w:gridSpan w:val="2"/>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合计</w:t>
            </w:r>
          </w:p>
        </w:tc>
        <w:tc>
          <w:tcPr>
            <w:tcW w:w="1200"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8</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48</w:t>
            </w:r>
          </w:p>
        </w:tc>
        <w:tc>
          <w:tcPr>
            <w:tcW w:w="13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11</w:t>
            </w:r>
          </w:p>
        </w:tc>
        <w:tc>
          <w:tcPr>
            <w:tcW w:w="1266"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5908</w:t>
            </w:r>
          </w:p>
        </w:tc>
        <w:tc>
          <w:tcPr>
            <w:tcW w:w="183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409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textAlignment w:val="auto"/>
              <w:rPr>
                <w:rFonts w:hint="eastAsia" w:ascii="仿宋_GB2312" w:hAnsi="仿宋_GB2312" w:eastAsia="仿宋_GB2312" w:cs="仿宋_GB2312"/>
                <w:sz w:val="21"/>
                <w:szCs w:val="21"/>
              </w:rPr>
            </w:pPr>
          </w:p>
        </w:tc>
      </w:tr>
    </w:tbl>
    <w:p>
      <w:pPr>
        <w:pStyle w:val="22"/>
        <w:spacing w:line="360" w:lineRule="auto"/>
        <w:ind w:left="380" w:firstLine="658"/>
        <w:rPr>
          <w:rFonts w:hint="eastAsia"/>
          <w:sz w:val="15"/>
          <w:szCs w:val="15"/>
          <w:lang w:val="en-US" w:eastAsia="zh-CN"/>
        </w:rPr>
        <w:sectPr>
          <w:type w:val="nextColumn"/>
          <w:pgSz w:w="16838" w:h="11906" w:orient="landscape"/>
          <w:pgMar w:top="1418" w:right="1418" w:bottom="1418" w:left="1418" w:header="851" w:footer="992" w:gutter="0"/>
          <w:pgNumType w:fmt="numberInDash"/>
          <w:cols w:space="720" w:num="1"/>
          <w:docGrid w:linePitch="312" w:charSpace="0"/>
        </w:sectPr>
      </w:pP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清城区医疗救护机构规模以上的公立医院和民营医院总计</w:t>
      </w:r>
      <w:r>
        <w:rPr>
          <w:rFonts w:hint="eastAsia" w:ascii="仿宋_GB2312" w:hAnsi="仿宋_GB2312" w:eastAsia="仿宋_GB2312" w:cs="仿宋_GB2312"/>
          <w:sz w:val="32"/>
          <w:szCs w:val="32"/>
          <w:lang w:val="en-US"/>
        </w:rPr>
        <w:t>7</w:t>
      </w:r>
      <w:r>
        <w:rPr>
          <w:rFonts w:hint="eastAsia" w:ascii="仿宋_GB2312" w:hAnsi="仿宋_GB2312" w:eastAsia="仿宋_GB2312" w:cs="仿宋_GB2312"/>
          <w:sz w:val="32"/>
          <w:szCs w:val="32"/>
        </w:rPr>
        <w:t>家，清城区医疗救护资源已经加入我市院前急救网络的“120”网络医院。在发生一般危险化学品事故时，能够满足危险化学品事故的应急医疗救援需要。</w:t>
      </w:r>
    </w:p>
    <w:p>
      <w:pPr>
        <w:spacing w:before="120" w:beforeLines="50" w:after="120" w:afterLines="50" w:line="5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val="0"/>
          <w:bCs/>
          <w:sz w:val="28"/>
          <w:szCs w:val="28"/>
        </w:rPr>
        <w:t>表</w:t>
      </w:r>
      <w:r>
        <w:rPr>
          <w:rFonts w:hint="eastAsia" w:ascii="仿宋_GB2312" w:hAnsi="仿宋_GB2312" w:eastAsia="仿宋_GB2312" w:cs="仿宋_GB2312"/>
          <w:b w:val="0"/>
          <w:bCs/>
          <w:sz w:val="28"/>
          <w:szCs w:val="28"/>
          <w:lang w:val="en-US"/>
        </w:rPr>
        <w:t>10</w:t>
      </w:r>
      <w:r>
        <w:rPr>
          <w:rFonts w:hint="eastAsia" w:ascii="仿宋_GB2312" w:hAnsi="仿宋_GB2312" w:eastAsia="仿宋_GB2312" w:cs="仿宋_GB2312"/>
          <w:b w:val="0"/>
          <w:bCs/>
          <w:sz w:val="28"/>
          <w:szCs w:val="28"/>
        </w:rPr>
        <w:t>.2-2</w:t>
      </w:r>
      <w:r>
        <w:rPr>
          <w:rFonts w:hint="eastAsia" w:ascii="仿宋_GB2312" w:hAnsi="仿宋_GB2312" w:eastAsia="仿宋_GB2312" w:cs="仿宋_GB2312"/>
          <w:b/>
          <w:sz w:val="28"/>
          <w:szCs w:val="28"/>
        </w:rPr>
        <w:t xml:space="preserve">     清城区二级及以上的医疗机构汇总表</w:t>
      </w:r>
    </w:p>
    <w:tbl>
      <w:tblPr>
        <w:tblStyle w:val="12"/>
        <w:tblW w:w="8888"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0" w:type="dxa"/>
          <w:bottom w:w="0" w:type="dxa"/>
          <w:right w:w="0" w:type="dxa"/>
        </w:tblCellMar>
      </w:tblPr>
      <w:tblGrid>
        <w:gridCol w:w="804"/>
        <w:gridCol w:w="883"/>
        <w:gridCol w:w="3183"/>
        <w:gridCol w:w="1367"/>
        <w:gridCol w:w="833"/>
        <w:gridCol w:w="1818"/>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891"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序号</w:t>
            </w:r>
          </w:p>
        </w:tc>
        <w:tc>
          <w:tcPr>
            <w:tcW w:w="8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地区</w:t>
            </w: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名称</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属性</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分级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联系电话</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783"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1</w:t>
            </w:r>
          </w:p>
        </w:tc>
        <w:tc>
          <w:tcPr>
            <w:tcW w:w="883" w:type="dxa"/>
            <w:vMerge w:val="restart"/>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清城</w:t>
            </w: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清远市清城区人民医院</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公立医院</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0763-3320580</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807"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2</w:t>
            </w:r>
          </w:p>
        </w:tc>
        <w:tc>
          <w:tcPr>
            <w:tcW w:w="88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清远市联合医院</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民营医院</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0763-3383419</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790"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3</w:t>
            </w:r>
          </w:p>
        </w:tc>
        <w:tc>
          <w:tcPr>
            <w:tcW w:w="88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清远市高新区医院</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民营医院</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0763-3550588</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739"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4</w:t>
            </w:r>
          </w:p>
        </w:tc>
        <w:tc>
          <w:tcPr>
            <w:tcW w:w="88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清远崇爱中医院</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民营医院</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0763-3218886</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824"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5</w:t>
            </w:r>
          </w:p>
        </w:tc>
        <w:tc>
          <w:tcPr>
            <w:tcW w:w="88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清远中大口腔医院</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民营医院</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0763-3391111</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724"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6</w:t>
            </w:r>
          </w:p>
        </w:tc>
        <w:tc>
          <w:tcPr>
            <w:tcW w:w="88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粤北口腔医院</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民营医院</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0763-3380338</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806" w:hRule="atLeast"/>
          <w:jc w:val="center"/>
        </w:trPr>
        <w:tc>
          <w:tcPr>
            <w:tcW w:w="804"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7</w:t>
            </w:r>
          </w:p>
        </w:tc>
        <w:tc>
          <w:tcPr>
            <w:tcW w:w="883" w:type="dxa"/>
            <w:vMerge w:val="continue"/>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p>
        </w:tc>
        <w:tc>
          <w:tcPr>
            <w:tcW w:w="318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ind w:left="72" w:leftChars="30" w:right="72" w:rightChars="30"/>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清远爱尔眼科医院</w:t>
            </w:r>
          </w:p>
        </w:tc>
        <w:tc>
          <w:tcPr>
            <w:tcW w:w="1367"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民营医院</w:t>
            </w:r>
          </w:p>
        </w:tc>
        <w:tc>
          <w:tcPr>
            <w:tcW w:w="833"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二级</w:t>
            </w:r>
          </w:p>
        </w:tc>
        <w:tc>
          <w:tcPr>
            <w:tcW w:w="1818" w:type="dxa"/>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0763-3321666</w:t>
            </w:r>
          </w:p>
        </w:tc>
      </w:tr>
      <w:bookmarkEnd w:id="297"/>
      <w:bookmarkEnd w:id="298"/>
    </w:tbl>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left"/>
        <w:textAlignment w:val="auto"/>
        <w:rPr>
          <w:rFonts w:hint="eastAsia" w:ascii="宋体" w:hAnsi="宋体" w:eastAsia="宋体" w:cs="宋体"/>
          <w:bCs w:val="0"/>
          <w:kern w:val="2"/>
          <w:sz w:val="21"/>
          <w:szCs w:val="21"/>
          <w:lang w:val="en-US" w:eastAsia="zh-CN"/>
        </w:rPr>
      </w:pPr>
      <w:bookmarkStart w:id="302" w:name="_Toc19350"/>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left"/>
        <w:textAlignment w:val="auto"/>
        <w:rPr>
          <w:rFonts w:hint="eastAsia" w:ascii="黑体" w:hAnsi="黑体" w:eastAsia="黑体" w:cs="黑体"/>
          <w:b w:val="0"/>
          <w:bCs/>
          <w:kern w:val="2"/>
          <w:sz w:val="32"/>
          <w:szCs w:val="24"/>
          <w:lang w:val="en-US" w:eastAsia="zh-CN"/>
        </w:rPr>
      </w:pPr>
      <w:r>
        <w:rPr>
          <w:rFonts w:hint="eastAsia" w:ascii="黑体" w:hAnsi="黑体" w:eastAsia="黑体" w:cs="黑体"/>
          <w:b w:val="0"/>
          <w:bCs/>
          <w:kern w:val="2"/>
          <w:sz w:val="32"/>
          <w:szCs w:val="24"/>
          <w:lang w:val="en-US" w:eastAsia="zh-CN"/>
        </w:rPr>
        <w:t>10.3 清城区危险化学品生产安全事故应急响应分级标准</w:t>
      </w:r>
      <w:bookmarkEnd w:id="302"/>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按照危险化学品生产安全事故的可控性、严重程度和影响范围，应急响应级别原则上分为Ⅰ级、Ⅱ级、Ⅲ级、Ⅳ级。</w:t>
      </w:r>
    </w:p>
    <w:p>
      <w:pPr>
        <w:pStyle w:val="2"/>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如表10.3。</w:t>
      </w:r>
    </w:p>
    <w:p>
      <w:pPr>
        <w:pStyle w:val="2"/>
        <w:rPr>
          <w:rFonts w:hint="eastAsia" w:ascii="仿宋_GB2312" w:hAnsi="仿宋_GB2312" w:eastAsia="仿宋_GB2312" w:cs="仿宋_GB2312"/>
          <w:lang w:val="en-US" w:eastAsia="zh-CN"/>
        </w:rPr>
      </w:pPr>
    </w:p>
    <w:p>
      <w:pPr>
        <w:pStyle w:val="2"/>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sz w:val="28"/>
          <w:szCs w:val="28"/>
          <w:lang w:val="en-US" w:eastAsia="zh-CN"/>
        </w:rPr>
        <w:t xml:space="preserve">表10.3         </w:t>
      </w:r>
      <w:r>
        <w:rPr>
          <w:rFonts w:hint="eastAsia" w:ascii="仿宋_GB2312" w:hAnsi="仿宋_GB2312" w:eastAsia="仿宋_GB2312" w:cs="仿宋_GB2312"/>
          <w:b/>
          <w:bCs/>
          <w:sz w:val="28"/>
          <w:szCs w:val="28"/>
          <w:lang w:val="en-US" w:eastAsia="zh-CN"/>
        </w:rPr>
        <w:t>应急响应级别标准</w:t>
      </w:r>
    </w:p>
    <w:tbl>
      <w:tblPr>
        <w:tblStyle w:val="12"/>
        <w:tblW w:w="8866"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1076"/>
        <w:gridCol w:w="7790"/>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11" w:hRule="atLeast"/>
          <w:jc w:val="center"/>
        </w:trPr>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响应级别</w:t>
            </w:r>
          </w:p>
        </w:tc>
        <w:tc>
          <w:tcPr>
            <w:tcW w:w="7790"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启动响应条件</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90" w:hRule="atLeast"/>
          <w:jc w:val="center"/>
        </w:trPr>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Ⅰ级应急响应</w:t>
            </w:r>
          </w:p>
        </w:tc>
        <w:tc>
          <w:tcPr>
            <w:tcW w:w="7790"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出现下列情况之一启动Ⅰ级响应：</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1.造成30人以上死亡(含失踪)，或者100人以上中毒(重伤)，或者直接经济损失1亿元以上的特别重大危险化学品生产安全事故；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2.需要紧急转移安置10万人以上的危险化学品生产安全事故；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3.超出省(区、市)人民政府应急处置能力的危险化学品生产安全事故；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4.跨省级行政区、跨领域(行业和部门)的危险化学品生产安全事故；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5.国务院领导同志认为需要国务院安委会响应的危险化学品生产安全事故。</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2264" w:hRule="atLeast"/>
          <w:jc w:val="center"/>
        </w:trPr>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Ⅱ级应急响应</w:t>
            </w:r>
          </w:p>
        </w:tc>
        <w:tc>
          <w:tcPr>
            <w:tcW w:w="7790"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出现下列情况之一启动Ⅱ级响应：</w:t>
            </w:r>
          </w:p>
          <w:p>
            <w:pPr>
              <w:keepNext w:val="0"/>
              <w:keepLines w:val="0"/>
              <w:pageBreakBefore w:val="0"/>
              <w:widowControl w:val="0"/>
              <w:numPr>
                <w:ilvl w:val="0"/>
                <w:numId w:val="9"/>
              </w:numPr>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造成10人以上、30人以下死亡(含失踪)，或者50人以上、100人以下中毒(重伤)，或者直接经济损失5000万元以上、l亿元以下的危险化学品生产安全事故。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2.超出地级以上市人民政府应急处置能力的危险化学品生产安全事故。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3.跨地级以上市行政区的危险化学品生产安全事故。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4.省政府认为有必要响应的危险化学品生产安全事故。</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2198" w:hRule="atLeast"/>
          <w:jc w:val="center"/>
        </w:trPr>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Ⅲ级应急响应</w:t>
            </w:r>
          </w:p>
        </w:tc>
        <w:tc>
          <w:tcPr>
            <w:tcW w:w="7790"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出现下列情况之一启动Ⅲ级响应：</w:t>
            </w:r>
          </w:p>
          <w:p>
            <w:pPr>
              <w:keepNext w:val="0"/>
              <w:keepLines w:val="0"/>
              <w:pageBreakBefore w:val="0"/>
              <w:widowControl w:val="0"/>
              <w:numPr>
                <w:ilvl w:val="0"/>
                <w:numId w:val="10"/>
              </w:numPr>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造成3人以上、10人以下死亡(含失踪)，或者10人以上、50人以下中毒(重伤)，或者直接经济损失1000万元以上、5000万元以下的危险化学品生产安全事故。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2.超出区政府应急处置能力的危险化学品生产安全事故。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3.发生跨区级行政区危险化学品生产安全事故。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4.地级以上市人民政府认为有必要响应的危险化学品生产安全事故。</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1535" w:hRule="atLeast"/>
          <w:jc w:val="center"/>
        </w:trPr>
        <w:tc>
          <w:tcPr>
            <w:tcW w:w="1076"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Ⅳ级应急</w:t>
            </w:r>
          </w:p>
          <w:p>
            <w:pPr>
              <w:keepNext w:val="0"/>
              <w:keepLines w:val="0"/>
              <w:pageBreakBefore w:val="0"/>
              <w:widowControl w:val="0"/>
              <w:kinsoku/>
              <w:wordWrap/>
              <w:overflowPunct/>
              <w:topLinePunct w:val="0"/>
              <w:autoSpaceDE/>
              <w:autoSpaceDN/>
              <w:bidi w:val="0"/>
              <w:adjustRightInd/>
              <w:snapToGrid/>
              <w:spacing w:after="0" w:line="36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响应</w:t>
            </w:r>
          </w:p>
        </w:tc>
        <w:tc>
          <w:tcPr>
            <w:tcW w:w="7790" w:type="dxa"/>
            <w:vAlign w:val="center"/>
          </w:tcPr>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出现下列情况之一启动Ⅳ级响应：</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1.造成3人以下死亡，或者10人以下中毒（重伤），或者1000万元以下直接经济损失的危险化学品生产安全事故；</w:t>
            </w:r>
          </w:p>
          <w:p>
            <w:pPr>
              <w:keepNext w:val="0"/>
              <w:keepLines w:val="0"/>
              <w:pageBreakBefore w:val="0"/>
              <w:widowControl w:val="0"/>
              <w:kinsoku/>
              <w:wordWrap/>
              <w:overflowPunct/>
              <w:topLinePunct w:val="0"/>
              <w:autoSpaceDE/>
              <w:autoSpaceDN/>
              <w:bidi w:val="0"/>
              <w:adjustRightInd/>
              <w:snapToGrid/>
              <w:spacing w:after="0" w:line="360" w:lineRule="exact"/>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rPr>
              <w:t>2.各区政府（</w:t>
            </w:r>
            <w:r>
              <w:rPr>
                <w:rFonts w:hint="eastAsia" w:ascii="仿宋_GB2312" w:hAnsi="仿宋_GB2312" w:eastAsia="仿宋_GB2312" w:cs="仿宋_GB2312"/>
                <w:sz w:val="21"/>
                <w:szCs w:val="21"/>
                <w:lang w:val="en-US" w:eastAsia="zh-CN"/>
              </w:rPr>
              <w:t>高新区管委会</w:t>
            </w:r>
            <w:r>
              <w:rPr>
                <w:rFonts w:hint="eastAsia" w:ascii="仿宋_GB2312" w:hAnsi="仿宋_GB2312" w:eastAsia="仿宋_GB2312" w:cs="仿宋_GB2312"/>
                <w:sz w:val="21"/>
                <w:szCs w:val="21"/>
                <w:lang w:val="en-US"/>
              </w:rPr>
              <w:t>）认为有必要响应的危险化学品生产安全事故。</w:t>
            </w:r>
          </w:p>
        </w:tc>
      </w:tr>
    </w:tbl>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本节有关数量的表述中，“以上”含本数，“以下”不含本数。</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Ⅰ级响应由国务院或国务院有关部门启动，Ⅱ级响应由省政府启动，Ⅲ级响应由地级以上市人民政府启动，Ⅳ级响应由各县（市、区）政府启动。</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各级政府在事故超出本级应急救援处置能力时，应及时上报，请求启动更高一级应急响应，实施救援。</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cs="Arial"/>
          <w:sz w:val="28"/>
          <w:szCs w:val="28"/>
          <w:lang w:val="en-US"/>
        </w:rPr>
      </w:pPr>
      <w:r>
        <w:rPr>
          <w:rFonts w:hint="eastAsia" w:ascii="仿宋_GB2312" w:hAnsi="仿宋_GB2312" w:eastAsia="仿宋_GB2312" w:cs="仿宋_GB2312"/>
          <w:sz w:val="32"/>
          <w:szCs w:val="32"/>
          <w:lang w:val="en-US"/>
        </w:rPr>
        <w:t>需要启动Ⅰ、Ⅱ、Ⅲ级应急响应时，区政府应先启动</w:t>
      </w:r>
      <w:r>
        <w:rPr>
          <w:rFonts w:hint="eastAsia" w:ascii="仿宋_GB2312" w:hAnsi="仿宋_GB2312" w:eastAsia="仿宋_GB2312" w:cs="仿宋_GB2312"/>
          <w:sz w:val="32"/>
          <w:szCs w:val="32"/>
        </w:rPr>
        <w:t>Ⅳ</w:t>
      </w:r>
      <w:r>
        <w:rPr>
          <w:rFonts w:hint="eastAsia" w:ascii="仿宋_GB2312" w:hAnsi="仿宋_GB2312" w:eastAsia="仿宋_GB2312" w:cs="仿宋_GB2312"/>
          <w:sz w:val="32"/>
          <w:szCs w:val="32"/>
          <w:lang w:val="en-US"/>
        </w:rPr>
        <w:t>级应急响应进行先期处置。</w:t>
      </w:r>
    </w:p>
    <w:p>
      <w:pPr>
        <w:pStyle w:val="4"/>
        <w:keepNext/>
        <w:keepLines/>
        <w:pageBreakBefore w:val="0"/>
        <w:widowControl w:val="0"/>
        <w:kinsoku/>
        <w:wordWrap/>
        <w:overflowPunct/>
        <w:topLinePunct w:val="0"/>
        <w:autoSpaceDE/>
        <w:autoSpaceDN/>
        <w:bidi w:val="0"/>
        <w:adjustRightInd/>
        <w:snapToGrid/>
        <w:spacing w:beforeAutospacing="0" w:after="0" w:afterAutospacing="0" w:line="560" w:lineRule="exact"/>
        <w:jc w:val="left"/>
        <w:textAlignment w:val="auto"/>
        <w:rPr>
          <w:rFonts w:hint="eastAsia" w:ascii="黑体" w:hAnsi="黑体" w:eastAsia="黑体" w:cs="黑体"/>
          <w:b w:val="0"/>
          <w:bCs/>
          <w:kern w:val="2"/>
          <w:sz w:val="32"/>
          <w:szCs w:val="24"/>
          <w:lang w:val="en-US" w:eastAsia="zh-CN"/>
        </w:rPr>
      </w:pPr>
      <w:bookmarkStart w:id="303" w:name="_Toc31631"/>
      <w:r>
        <w:rPr>
          <w:rFonts w:hint="eastAsia" w:ascii="黑体" w:hAnsi="黑体" w:eastAsia="黑体" w:cs="黑体"/>
          <w:b w:val="0"/>
          <w:bCs/>
          <w:kern w:val="2"/>
          <w:sz w:val="32"/>
          <w:szCs w:val="24"/>
          <w:lang w:val="en-US" w:eastAsia="zh-CN"/>
        </w:rPr>
        <w:t>10.4 清城区危险化学品生产安全事故应急响应流程图</w:t>
      </w:r>
      <w:bookmarkEnd w:id="303"/>
    </w:p>
    <w:p>
      <w:pPr>
        <w:widowControl w:val="0"/>
        <w:rPr>
          <w:rFonts w:ascii="宋体" w:hAnsi="宋体" w:cs="Arial"/>
          <w:sz w:val="28"/>
          <w:szCs w:val="28"/>
        </w:rPr>
      </w:pPr>
      <w:r>
        <w:rPr>
          <w:rFonts w:ascii="宋体" w:hAnsi="宋体"/>
          <w:sz w:val="28"/>
          <w:szCs w:val="28"/>
          <w:lang w:val="en-US"/>
        </w:rPr>
        <mc:AlternateContent>
          <mc:Choice Requires="wpg">
            <w:drawing>
              <wp:anchor distT="0" distB="0" distL="114300" distR="114300" simplePos="0" relativeHeight="251659264" behindDoc="0" locked="0" layoutInCell="1" allowOverlap="1">
                <wp:simplePos x="0" y="0"/>
                <wp:positionH relativeFrom="column">
                  <wp:posOffset>-167005</wp:posOffset>
                </wp:positionH>
                <wp:positionV relativeFrom="paragraph">
                  <wp:posOffset>277495</wp:posOffset>
                </wp:positionV>
                <wp:extent cx="5972175" cy="6966585"/>
                <wp:effectExtent l="33020" t="6985" r="24130" b="8255"/>
                <wp:wrapNone/>
                <wp:docPr id="3" name="Group 2"/>
                <wp:cNvGraphicFramePr/>
                <a:graphic xmlns:a="http://schemas.openxmlformats.org/drawingml/2006/main">
                  <a:graphicData uri="http://schemas.microsoft.com/office/word/2010/wordprocessingGroup">
                    <wpg:wgp>
                      <wpg:cNvGrpSpPr/>
                      <wpg:grpSpPr>
                        <a:xfrm>
                          <a:off x="0" y="0"/>
                          <a:ext cx="5972175" cy="6966585"/>
                          <a:chOff x="0" y="0"/>
                          <a:chExt cx="9405" cy="10971"/>
                        </a:xfrm>
                      </wpg:grpSpPr>
                      <wps:wsp>
                        <wps:cNvPr id="4" name="Oval 281"/>
                        <wps:cNvSpPr>
                          <a:spLocks noChangeArrowheads="1"/>
                        </wps:cNvSpPr>
                        <wps:spPr bwMode="auto">
                          <a:xfrm>
                            <a:off x="616" y="2189"/>
                            <a:ext cx="2121" cy="1081"/>
                          </a:xfrm>
                          <a:prstGeom prst="ellipse">
                            <a:avLst/>
                          </a:prstGeom>
                          <a:solidFill>
                            <a:srgbClr val="FFFFFF"/>
                          </a:solidFill>
                          <a:ln w="9525" cmpd="sng">
                            <a:solidFill>
                              <a:srgbClr val="000000"/>
                            </a:solidFill>
                            <a:round/>
                          </a:ln>
                        </wps:spPr>
                        <wps:txbx>
                          <w:txbxContent>
                            <w:p>
                              <w:pPr>
                                <w:spacing w:after="0" w:line="240" w:lineRule="auto"/>
                                <w:jc w:val="center"/>
                                <w:rPr>
                                  <w:rFonts w:ascii="宋体" w:hAnsi="宋体" w:cs="宋体"/>
                                  <w:sz w:val="18"/>
                                  <w:szCs w:val="18"/>
                                </w:rPr>
                              </w:pPr>
                              <w:r>
                                <w:rPr>
                                  <w:rFonts w:hint="eastAsia" w:ascii="宋体" w:hAnsi="宋体" w:cs="宋体"/>
                                  <w:sz w:val="18"/>
                                  <w:szCs w:val="18"/>
                                </w:rPr>
                                <w:t>Ⅳ级危险化学品生产安全事故</w:t>
                              </w:r>
                            </w:p>
                          </w:txbxContent>
                        </wps:txbx>
                        <wps:bodyPr rot="0" vert="horz" wrap="square" lIns="91440" tIns="45720" rIns="91440" bIns="45720" anchor="t" anchorCtr="0" upright="1">
                          <a:noAutofit/>
                        </wps:bodyPr>
                      </wps:wsp>
                      <wps:wsp>
                        <wps:cNvPr id="5" name="AutoShape 326"/>
                        <wps:cNvSpPr>
                          <a:spLocks noChangeArrowheads="1"/>
                        </wps:cNvSpPr>
                        <wps:spPr bwMode="auto">
                          <a:xfrm>
                            <a:off x="0" y="5607"/>
                            <a:ext cx="3212" cy="821"/>
                          </a:xfrm>
                          <a:prstGeom prst="diamond">
                            <a:avLst/>
                          </a:prstGeom>
                          <a:solidFill>
                            <a:srgbClr val="FFFFFF"/>
                          </a:solidFill>
                          <a:ln w="9525" cmpd="sng">
                            <a:solidFill>
                              <a:srgbClr val="000000"/>
                            </a:solidFill>
                            <a:miter lim="800000"/>
                          </a:ln>
                        </wps:spPr>
                        <wps:txbx>
                          <w:txbxContent>
                            <w:p>
                              <w:pPr>
                                <w:pStyle w:val="7"/>
                                <w:jc w:val="center"/>
                                <w:rPr>
                                  <w:sz w:val="18"/>
                                  <w:szCs w:val="18"/>
                                </w:rPr>
                              </w:pPr>
                              <w:r>
                                <w:rPr>
                                  <w:rFonts w:hint="eastAsia"/>
                                  <w:sz w:val="18"/>
                                  <w:szCs w:val="18"/>
                                </w:rPr>
                                <w:t>关注事态发展</w:t>
                              </w:r>
                            </w:p>
                            <w:p>
                              <w:pPr>
                                <w:jc w:val="center"/>
                                <w:rPr>
                                  <w:rFonts w:eastAsia="仿宋_GB2312"/>
                                </w:rPr>
                              </w:pPr>
                            </w:p>
                          </w:txbxContent>
                        </wps:txbx>
                        <wps:bodyPr rot="0" vert="horz" wrap="square" lIns="91440" tIns="45720" rIns="91440" bIns="45720" anchor="t" anchorCtr="0" upright="1">
                          <a:noAutofit/>
                        </wps:bodyPr>
                      </wps:wsp>
                      <wps:wsp>
                        <wps:cNvPr id="6" name="Line 314"/>
                        <wps:cNvCnPr>
                          <a:cxnSpLocks noChangeShapeType="1"/>
                        </wps:cNvCnPr>
                        <wps:spPr bwMode="auto">
                          <a:xfrm>
                            <a:off x="4902" y="6905"/>
                            <a:ext cx="1" cy="454"/>
                          </a:xfrm>
                          <a:prstGeom prst="line">
                            <a:avLst/>
                          </a:prstGeom>
                          <a:noFill/>
                          <a:ln w="9525" cmpd="sng">
                            <a:solidFill>
                              <a:srgbClr val="000000"/>
                            </a:solidFill>
                            <a:round/>
                            <a:tailEnd type="triangle" w="med" len="med"/>
                          </a:ln>
                        </wps:spPr>
                        <wps:bodyPr/>
                      </wps:wsp>
                      <wps:wsp>
                        <wps:cNvPr id="7" name="Line 314"/>
                        <wps:cNvCnPr>
                          <a:cxnSpLocks noChangeShapeType="1"/>
                        </wps:cNvCnPr>
                        <wps:spPr bwMode="auto">
                          <a:xfrm>
                            <a:off x="8047" y="9935"/>
                            <a:ext cx="0" cy="497"/>
                          </a:xfrm>
                          <a:prstGeom prst="line">
                            <a:avLst/>
                          </a:prstGeom>
                          <a:noFill/>
                          <a:ln w="9525" cmpd="sng">
                            <a:solidFill>
                              <a:srgbClr val="000000"/>
                            </a:solidFill>
                            <a:round/>
                            <a:tailEnd type="triangle" w="med" len="med"/>
                          </a:ln>
                        </wps:spPr>
                        <wps:bodyPr/>
                      </wps:wsp>
                      <wps:wsp>
                        <wps:cNvPr id="8" name="Line 314"/>
                        <wps:cNvCnPr>
                          <a:cxnSpLocks noChangeShapeType="1"/>
                        </wps:cNvCnPr>
                        <wps:spPr bwMode="auto">
                          <a:xfrm>
                            <a:off x="1607" y="7613"/>
                            <a:ext cx="1" cy="497"/>
                          </a:xfrm>
                          <a:prstGeom prst="line">
                            <a:avLst/>
                          </a:prstGeom>
                          <a:noFill/>
                          <a:ln w="9525" cmpd="sng">
                            <a:solidFill>
                              <a:srgbClr val="000000"/>
                            </a:solidFill>
                            <a:round/>
                            <a:tailEnd type="triangle" w="med" len="med"/>
                          </a:ln>
                        </wps:spPr>
                        <wps:bodyPr/>
                      </wps:wsp>
                      <wps:wsp>
                        <wps:cNvPr id="9" name="Oval 290"/>
                        <wps:cNvSpPr>
                          <a:spLocks noChangeArrowheads="1"/>
                        </wps:cNvSpPr>
                        <wps:spPr bwMode="auto">
                          <a:xfrm>
                            <a:off x="446" y="6940"/>
                            <a:ext cx="2309" cy="656"/>
                          </a:xfrm>
                          <a:prstGeom prst="ellipse">
                            <a:avLst/>
                          </a:prstGeom>
                          <a:solidFill>
                            <a:srgbClr val="FFFFFF"/>
                          </a:solidFill>
                          <a:ln w="9525" cmpd="sng">
                            <a:solidFill>
                              <a:srgbClr val="000000"/>
                            </a:solidFill>
                            <a:round/>
                          </a:ln>
                        </wps:spPr>
                        <wps:txbx>
                          <w:txbxContent>
                            <w:p>
                              <w:pPr>
                                <w:jc w:val="center"/>
                                <w:rPr>
                                  <w:rFonts w:hint="eastAsia" w:ascii="宋体" w:hAnsi="宋体" w:cs="宋体"/>
                                  <w:sz w:val="18"/>
                                  <w:szCs w:val="18"/>
                                </w:rPr>
                              </w:pPr>
                              <w:r>
                                <w:rPr>
                                  <w:rFonts w:hint="eastAsia" w:ascii="宋体" w:hAnsi="宋体" w:cs="宋体"/>
                                  <w:sz w:val="18"/>
                                  <w:szCs w:val="18"/>
                                </w:rPr>
                                <w:t>事故得到控制</w:t>
                              </w:r>
                            </w:p>
                          </w:txbxContent>
                        </wps:txbx>
                        <wps:bodyPr rot="0" vert="horz" wrap="square" lIns="91440" tIns="45720" rIns="91440" bIns="45720" anchor="t" anchorCtr="0" upright="1">
                          <a:noAutofit/>
                        </wps:bodyPr>
                      </wps:wsp>
                      <wps:wsp>
                        <wps:cNvPr id="10" name="Line 314"/>
                        <wps:cNvCnPr>
                          <a:cxnSpLocks noChangeShapeType="1"/>
                        </wps:cNvCnPr>
                        <wps:spPr bwMode="auto">
                          <a:xfrm>
                            <a:off x="1613" y="6430"/>
                            <a:ext cx="1" cy="497"/>
                          </a:xfrm>
                          <a:prstGeom prst="line">
                            <a:avLst/>
                          </a:prstGeom>
                          <a:noFill/>
                          <a:ln w="9525" cmpd="sng">
                            <a:solidFill>
                              <a:srgbClr val="000000"/>
                            </a:solidFill>
                            <a:round/>
                            <a:tailEnd type="triangle" w="med" len="med"/>
                          </a:ln>
                        </wps:spPr>
                        <wps:bodyPr/>
                      </wps:wsp>
                      <wps:wsp>
                        <wps:cNvPr id="11" name="Line 317"/>
                        <wps:cNvCnPr>
                          <a:cxnSpLocks noChangeShapeType="1"/>
                        </wps:cNvCnPr>
                        <wps:spPr bwMode="auto">
                          <a:xfrm rot="16200000" flipH="1">
                            <a:off x="4554" y="8762"/>
                            <a:ext cx="497" cy="1"/>
                          </a:xfrm>
                          <a:prstGeom prst="bentConnector3">
                            <a:avLst>
                              <a:gd name="adj1" fmla="val 49898"/>
                            </a:avLst>
                          </a:prstGeom>
                          <a:noFill/>
                          <a:ln w="9525" cmpd="sng">
                            <a:solidFill>
                              <a:srgbClr val="000000"/>
                            </a:solidFill>
                            <a:miter lim="800000"/>
                            <a:tailEnd type="triangle" w="med" len="med"/>
                          </a:ln>
                        </wps:spPr>
                        <wps:bodyPr/>
                      </wps:wsp>
                      <wps:wsp>
                        <wps:cNvPr id="12" name="AutoShape 280"/>
                        <wps:cNvSpPr>
                          <a:spLocks noChangeArrowheads="1"/>
                        </wps:cNvSpPr>
                        <wps:spPr bwMode="auto">
                          <a:xfrm>
                            <a:off x="6652" y="7918"/>
                            <a:ext cx="2753" cy="985"/>
                          </a:xfrm>
                          <a:prstGeom prst="diamond">
                            <a:avLst/>
                          </a:prstGeom>
                          <a:solidFill>
                            <a:srgbClr val="FFFFFF"/>
                          </a:solidFill>
                          <a:ln w="9525" cmpd="sng">
                            <a:solidFill>
                              <a:srgbClr val="000000"/>
                            </a:solidFill>
                            <a:miter lim="800000"/>
                          </a:ln>
                        </wps:spPr>
                        <wps:txbx>
                          <w:txbxContent>
                            <w:p>
                              <w:pPr>
                                <w:jc w:val="center"/>
                                <w:rPr>
                                  <w:rFonts w:ascii="仿宋_GB2312" w:hAnsi="宋体"/>
                                </w:rPr>
                              </w:pPr>
                              <w:r>
                                <w:rPr>
                                  <w:rFonts w:hint="eastAsia" w:ascii="宋体" w:hAnsi="宋体" w:cs="宋体"/>
                                  <w:sz w:val="18"/>
                                  <w:szCs w:val="18"/>
                                </w:rPr>
                                <w:t>关注事态发展</w:t>
                              </w:r>
                            </w:p>
                          </w:txbxContent>
                        </wps:txbx>
                        <wps:bodyPr rot="0" vert="horz" wrap="square" lIns="91440" tIns="45720" rIns="91440" bIns="45720" anchor="t" anchorCtr="0" upright="1">
                          <a:noAutofit/>
                        </wps:bodyPr>
                      </wps:wsp>
                      <wps:wsp>
                        <wps:cNvPr id="13" name="Rectangle 284"/>
                        <wps:cNvSpPr>
                          <a:spLocks noChangeArrowheads="1"/>
                        </wps:cNvSpPr>
                        <wps:spPr bwMode="auto">
                          <a:xfrm>
                            <a:off x="7170" y="10441"/>
                            <a:ext cx="1758" cy="530"/>
                          </a:xfrm>
                          <a:prstGeom prst="rect">
                            <a:avLst/>
                          </a:prstGeom>
                          <a:solidFill>
                            <a:srgbClr val="FFFFFF"/>
                          </a:solidFill>
                          <a:ln w="9525" cmpd="sng">
                            <a:solidFill>
                              <a:srgbClr val="000000"/>
                            </a:solidFill>
                            <a:miter lim="800000"/>
                          </a:ln>
                        </wps:spPr>
                        <wps:txbx>
                          <w:txbxContent>
                            <w:p>
                              <w:pPr>
                                <w:jc w:val="center"/>
                                <w:rPr>
                                  <w:rFonts w:hint="eastAsia" w:eastAsia="仿宋_GB2312"/>
                                  <w:sz w:val="18"/>
                                  <w:szCs w:val="18"/>
                                </w:rPr>
                              </w:pPr>
                              <w:r>
                                <w:rPr>
                                  <w:rFonts w:hint="eastAsia" w:ascii="宋体" w:hAnsi="宋体" w:cs="宋体"/>
                                  <w:sz w:val="18"/>
                                  <w:szCs w:val="18"/>
                                </w:rPr>
                                <w:t>应急结束</w:t>
                              </w:r>
                            </w:p>
                          </w:txbxContent>
                        </wps:txbx>
                        <wps:bodyPr rot="0" vert="horz" wrap="square" lIns="91440" tIns="45720" rIns="91440" bIns="45720" anchor="t" anchorCtr="0" upright="1">
                          <a:noAutofit/>
                        </wps:bodyPr>
                      </wps:wsp>
                      <wps:wsp>
                        <wps:cNvPr id="14" name="Rectangle 285"/>
                        <wps:cNvSpPr>
                          <a:spLocks noChangeArrowheads="1"/>
                        </wps:cNvSpPr>
                        <wps:spPr bwMode="auto">
                          <a:xfrm>
                            <a:off x="7145" y="6074"/>
                            <a:ext cx="1901" cy="1314"/>
                          </a:xfrm>
                          <a:prstGeom prst="rect">
                            <a:avLst/>
                          </a:prstGeom>
                          <a:solidFill>
                            <a:srgbClr val="FFFFFF"/>
                          </a:solidFill>
                          <a:ln w="9525" cmpd="sng">
                            <a:solidFill>
                              <a:srgbClr val="000000"/>
                            </a:solidFill>
                            <a:miter lim="800000"/>
                          </a:ln>
                        </wps:spPr>
                        <wps:txbx>
                          <w:txbxContent>
                            <w:p>
                              <w:pPr>
                                <w:jc w:val="both"/>
                                <w:rPr>
                                  <w:rFonts w:hint="eastAsia" w:ascii="宋体" w:hAnsi="宋体" w:cs="宋体"/>
                                  <w:sz w:val="18"/>
                                  <w:szCs w:val="18"/>
                                </w:rPr>
                              </w:pPr>
                              <w:r>
                                <w:rPr>
                                  <w:rFonts w:hint="eastAsia" w:ascii="宋体" w:hAnsi="宋体" w:cs="宋体"/>
                                  <w:sz w:val="18"/>
                                  <w:szCs w:val="18"/>
                                </w:rPr>
                                <w:t>由市应急指挥部启动Ⅲ级应急响应，设立现场指挥部，指挥应急抢险救援</w:t>
                              </w:r>
                            </w:p>
                          </w:txbxContent>
                        </wps:txbx>
                        <wps:bodyPr rot="0" vert="horz" wrap="square" lIns="91440" tIns="45720" rIns="91440" bIns="45720" anchor="t" anchorCtr="0" upright="1">
                          <a:noAutofit/>
                        </wps:bodyPr>
                      </wps:wsp>
                      <wps:wsp>
                        <wps:cNvPr id="15" name="Rectangle 286"/>
                        <wps:cNvSpPr>
                          <a:spLocks noChangeArrowheads="1"/>
                        </wps:cNvSpPr>
                        <wps:spPr bwMode="auto">
                          <a:xfrm>
                            <a:off x="4033" y="7368"/>
                            <a:ext cx="1758" cy="1255"/>
                          </a:xfrm>
                          <a:prstGeom prst="rect">
                            <a:avLst/>
                          </a:prstGeom>
                          <a:solidFill>
                            <a:srgbClr val="FFFFFF"/>
                          </a:solidFill>
                          <a:ln w="9525" cmpd="sng">
                            <a:solidFill>
                              <a:srgbClr val="000000"/>
                            </a:solidFill>
                            <a:miter lim="800000"/>
                          </a:ln>
                        </wps:spPr>
                        <wps:txbx>
                          <w:txbxContent>
                            <w:p>
                              <w:pPr>
                                <w:jc w:val="both"/>
                                <w:rPr>
                                  <w:rFonts w:hint="eastAsia" w:ascii="宋体" w:hAnsi="宋体" w:cs="宋体"/>
                                  <w:sz w:val="18"/>
                                  <w:szCs w:val="18"/>
                                </w:rPr>
                              </w:pPr>
                              <w:r>
                                <w:rPr>
                                  <w:rFonts w:hint="eastAsia" w:ascii="宋体" w:hAnsi="宋体" w:cs="宋体"/>
                                  <w:sz w:val="18"/>
                                  <w:szCs w:val="18"/>
                                </w:rPr>
                                <w:t>按上一级相关预案规定开展先期处置工作，并关注事态发展</w:t>
                              </w:r>
                            </w:p>
                          </w:txbxContent>
                        </wps:txbx>
                        <wps:bodyPr rot="0" vert="horz" wrap="square" lIns="91440" tIns="45720" rIns="91440" bIns="45720" anchor="t" anchorCtr="0" upright="1">
                          <a:noAutofit/>
                        </wps:bodyPr>
                      </wps:wsp>
                      <wps:wsp>
                        <wps:cNvPr id="16" name="Rectangle 287"/>
                        <wps:cNvSpPr>
                          <a:spLocks noChangeArrowheads="1"/>
                        </wps:cNvSpPr>
                        <wps:spPr bwMode="auto">
                          <a:xfrm>
                            <a:off x="616" y="3726"/>
                            <a:ext cx="1914" cy="1302"/>
                          </a:xfrm>
                          <a:prstGeom prst="rect">
                            <a:avLst/>
                          </a:prstGeom>
                          <a:solidFill>
                            <a:srgbClr val="FFFFFF"/>
                          </a:solidFill>
                          <a:ln w="9525" cmpd="sng">
                            <a:solidFill>
                              <a:srgbClr val="000000"/>
                            </a:solidFill>
                            <a:miter lim="800000"/>
                          </a:ln>
                        </wps:spPr>
                        <wps:txbx>
                          <w:txbxContent>
                            <w:p>
                              <w:pPr>
                                <w:rPr>
                                  <w:rFonts w:hint="eastAsia" w:ascii="宋体" w:hAnsi="宋体" w:cs="宋体"/>
                                  <w:szCs w:val="21"/>
                                </w:rPr>
                              </w:pPr>
                              <w:r>
                                <w:rPr>
                                  <w:rFonts w:hint="eastAsia" w:ascii="宋体" w:hAnsi="宋体" w:cs="宋体"/>
                                  <w:sz w:val="18"/>
                                  <w:szCs w:val="18"/>
                                </w:rPr>
                                <w:t>事发</w:t>
                              </w:r>
                              <w:r>
                                <w:rPr>
                                  <w:rFonts w:hint="eastAsia" w:ascii="宋体" w:hAnsi="宋体" w:cs="宋体"/>
                                  <w:sz w:val="18"/>
                                  <w:szCs w:val="18"/>
                                  <w:lang w:val="en-US"/>
                                </w:rPr>
                                <w:t>区</w:t>
                              </w:r>
                              <w:r>
                                <w:rPr>
                                  <w:rFonts w:hint="eastAsia" w:ascii="宋体" w:hAnsi="宋体" w:cs="宋体"/>
                                  <w:sz w:val="18"/>
                                  <w:szCs w:val="18"/>
                                </w:rPr>
                                <w:t>政府启动Ⅳ级应急响应，直接指挥应急抢险救援</w:t>
                              </w:r>
                            </w:p>
                          </w:txbxContent>
                        </wps:txbx>
                        <wps:bodyPr rot="0" vert="horz" wrap="square" lIns="91440" tIns="45720" rIns="91440" bIns="45720" anchor="t" anchorCtr="0" upright="1">
                          <a:noAutofit/>
                        </wps:bodyPr>
                      </wps:wsp>
                      <wps:wsp>
                        <wps:cNvPr id="17" name="Rectangle 288"/>
                        <wps:cNvSpPr>
                          <a:spLocks noChangeArrowheads="1"/>
                        </wps:cNvSpPr>
                        <wps:spPr bwMode="auto">
                          <a:xfrm>
                            <a:off x="4000" y="10310"/>
                            <a:ext cx="1758" cy="496"/>
                          </a:xfrm>
                          <a:prstGeom prst="rect">
                            <a:avLst/>
                          </a:prstGeom>
                          <a:solidFill>
                            <a:srgbClr val="FFFFFF"/>
                          </a:solidFill>
                          <a:ln w="9525" cmpd="sng">
                            <a:solidFill>
                              <a:srgbClr val="000000"/>
                            </a:solidFill>
                            <a:miter lim="800000"/>
                          </a:ln>
                        </wps:spPr>
                        <wps:txbx>
                          <w:txbxContent>
                            <w:p>
                              <w:pPr>
                                <w:jc w:val="center"/>
                                <w:rPr>
                                  <w:rFonts w:hint="eastAsia" w:ascii="宋体" w:hAnsi="宋体" w:cs="宋体"/>
                                  <w:sz w:val="18"/>
                                  <w:szCs w:val="18"/>
                                </w:rPr>
                              </w:pPr>
                              <w:r>
                                <w:rPr>
                                  <w:rFonts w:hint="eastAsia" w:ascii="宋体" w:hAnsi="宋体" w:cs="宋体"/>
                                  <w:sz w:val="18"/>
                                  <w:szCs w:val="18"/>
                                </w:rPr>
                                <w:t>应急结束</w:t>
                              </w:r>
                            </w:p>
                          </w:txbxContent>
                        </wps:txbx>
                        <wps:bodyPr rot="0" vert="horz" wrap="square" lIns="91440" tIns="45720" rIns="91440" bIns="45720" anchor="t" anchorCtr="0" upright="1">
                          <a:noAutofit/>
                        </wps:bodyPr>
                      </wps:wsp>
                      <wps:wsp>
                        <wps:cNvPr id="18" name="Oval 291"/>
                        <wps:cNvSpPr>
                          <a:spLocks noChangeArrowheads="1"/>
                        </wps:cNvSpPr>
                        <wps:spPr bwMode="auto">
                          <a:xfrm>
                            <a:off x="6994" y="4024"/>
                            <a:ext cx="2110" cy="1153"/>
                          </a:xfrm>
                          <a:prstGeom prst="ellipse">
                            <a:avLst/>
                          </a:prstGeom>
                          <a:solidFill>
                            <a:srgbClr val="FFFFFF"/>
                          </a:solidFill>
                          <a:ln w="9525" cmpd="sng">
                            <a:solidFill>
                              <a:srgbClr val="000000"/>
                            </a:solidFill>
                            <a:round/>
                          </a:ln>
                        </wps:spPr>
                        <wps:txbx>
                          <w:txbxContent>
                            <w:p>
                              <w:pPr>
                                <w:jc w:val="center"/>
                                <w:rPr>
                                  <w:rFonts w:hint="eastAsia" w:ascii="宋体" w:hAnsi="宋体" w:cs="宋体"/>
                                  <w:sz w:val="18"/>
                                  <w:szCs w:val="18"/>
                                </w:rPr>
                              </w:pPr>
                              <w:r>
                                <w:rPr>
                                  <w:rFonts w:hint="eastAsia" w:ascii="宋体" w:hAnsi="宋体" w:cs="宋体"/>
                                  <w:sz w:val="18"/>
                                  <w:szCs w:val="18"/>
                                </w:rPr>
                                <w:t>Ⅲ级危险化学品生产安全事故</w:t>
                              </w:r>
                            </w:p>
                            <w:p>
                              <w:pPr>
                                <w:jc w:val="center"/>
                                <w:rPr>
                                  <w:rFonts w:hint="eastAsia" w:eastAsia="仿宋_GB2312"/>
                                  <w:sz w:val="18"/>
                                  <w:szCs w:val="18"/>
                                </w:rPr>
                              </w:pPr>
                            </w:p>
                            <w:p>
                              <w:pPr>
                                <w:jc w:val="center"/>
                                <w:rPr>
                                  <w:rFonts w:hint="eastAsia" w:eastAsia="仿宋_GB2312"/>
                                  <w:sz w:val="18"/>
                                  <w:szCs w:val="18"/>
                                </w:rPr>
                              </w:pPr>
                              <w:r>
                                <w:rPr>
                                  <w:rFonts w:hint="eastAsia" w:eastAsia="仿宋_GB2312"/>
                                  <w:sz w:val="18"/>
                                  <w:szCs w:val="18"/>
                                </w:rPr>
                                <w:t>事故</w:t>
                              </w:r>
                            </w:p>
                          </w:txbxContent>
                        </wps:txbx>
                        <wps:bodyPr rot="0" vert="horz" wrap="square" lIns="91440" tIns="45720" rIns="91440" bIns="45720" anchor="t" anchorCtr="0" upright="1">
                          <a:noAutofit/>
                        </wps:bodyPr>
                      </wps:wsp>
                      <wps:wsp>
                        <wps:cNvPr id="19" name="Oval 292"/>
                        <wps:cNvSpPr>
                          <a:spLocks noChangeArrowheads="1"/>
                        </wps:cNvSpPr>
                        <wps:spPr bwMode="auto">
                          <a:xfrm>
                            <a:off x="3729" y="5865"/>
                            <a:ext cx="2347" cy="1069"/>
                          </a:xfrm>
                          <a:prstGeom prst="ellipse">
                            <a:avLst/>
                          </a:prstGeom>
                          <a:solidFill>
                            <a:srgbClr val="FFFFFF"/>
                          </a:solidFill>
                          <a:ln w="9525" cmpd="sng">
                            <a:solidFill>
                              <a:srgbClr val="000000"/>
                            </a:solidFill>
                            <a:round/>
                          </a:ln>
                        </wps:spPr>
                        <wps:txbx>
                          <w:txbxContent>
                            <w:p>
                              <w:pPr>
                                <w:jc w:val="center"/>
                                <w:rPr>
                                  <w:rFonts w:hint="eastAsia" w:ascii="宋体" w:hAnsi="宋体" w:cs="宋体"/>
                                  <w:sz w:val="18"/>
                                  <w:szCs w:val="18"/>
                                </w:rPr>
                              </w:pPr>
                              <w:r>
                                <w:rPr>
                                  <w:rFonts w:hint="eastAsia" w:ascii="宋体" w:hAnsi="宋体" w:cs="宋体"/>
                                  <w:sz w:val="18"/>
                                  <w:szCs w:val="18"/>
                                </w:rPr>
                                <w:t>Ⅰ、Ⅱ级危险化学品生产安全事故</w:t>
                              </w:r>
                            </w:p>
                            <w:p>
                              <w:pPr>
                                <w:jc w:val="center"/>
                                <w:rPr>
                                  <w:rFonts w:eastAsia="仿宋_GB2312"/>
                                  <w:sz w:val="18"/>
                                  <w:szCs w:val="18"/>
                                </w:rPr>
                              </w:pPr>
                            </w:p>
                            <w:p>
                              <w:pPr>
                                <w:jc w:val="center"/>
                                <w:rPr>
                                  <w:rFonts w:eastAsia="仿宋_GB2312"/>
                                </w:rPr>
                              </w:pPr>
                              <w:r>
                                <w:rPr>
                                  <w:rFonts w:hint="eastAsia" w:eastAsia="仿宋_GB2312"/>
                                </w:rPr>
                                <w:t>事故</w:t>
                              </w:r>
                            </w:p>
                          </w:txbxContent>
                        </wps:txbx>
                        <wps:bodyPr rot="0" vert="horz" wrap="square" lIns="91440" tIns="45720" rIns="91440" bIns="45720" anchor="t" anchorCtr="0" upright="1">
                          <a:noAutofit/>
                        </wps:bodyPr>
                      </wps:wsp>
                      <wps:wsp>
                        <wps:cNvPr id="20" name="Oval 293"/>
                        <wps:cNvSpPr>
                          <a:spLocks noChangeArrowheads="1"/>
                        </wps:cNvSpPr>
                        <wps:spPr bwMode="auto">
                          <a:xfrm>
                            <a:off x="3826" y="9112"/>
                            <a:ext cx="2108" cy="657"/>
                          </a:xfrm>
                          <a:prstGeom prst="ellipse">
                            <a:avLst/>
                          </a:prstGeom>
                          <a:solidFill>
                            <a:srgbClr val="FFFFFF"/>
                          </a:solidFill>
                          <a:ln w="9525" cmpd="sng">
                            <a:solidFill>
                              <a:srgbClr val="000000"/>
                            </a:solidFill>
                            <a:round/>
                          </a:ln>
                        </wps:spPr>
                        <wps:txbx>
                          <w:txbxContent>
                            <w:p>
                              <w:pPr>
                                <w:jc w:val="center"/>
                                <w:rPr>
                                  <w:rFonts w:hint="eastAsia" w:eastAsia="仿宋_GB2312"/>
                                  <w:sz w:val="18"/>
                                  <w:szCs w:val="18"/>
                                </w:rPr>
                              </w:pPr>
                              <w:r>
                                <w:rPr>
                                  <w:rFonts w:hint="eastAsia" w:ascii="宋体" w:hAnsi="宋体" w:cs="宋体"/>
                                  <w:sz w:val="18"/>
                                  <w:szCs w:val="18"/>
                                </w:rPr>
                                <w:t>事故得到控制</w:t>
                              </w:r>
                            </w:p>
                          </w:txbxContent>
                        </wps:txbx>
                        <wps:bodyPr rot="0" vert="horz" wrap="square" lIns="91440" tIns="45720" rIns="91440" bIns="45720" anchor="t" anchorCtr="0" upright="1">
                          <a:noAutofit/>
                        </wps:bodyPr>
                      </wps:wsp>
                      <wps:wsp>
                        <wps:cNvPr id="21" name="Oval 294"/>
                        <wps:cNvSpPr>
                          <a:spLocks noChangeArrowheads="1"/>
                        </wps:cNvSpPr>
                        <wps:spPr bwMode="auto">
                          <a:xfrm>
                            <a:off x="7008" y="9256"/>
                            <a:ext cx="2060" cy="657"/>
                          </a:xfrm>
                          <a:prstGeom prst="ellipse">
                            <a:avLst/>
                          </a:prstGeom>
                          <a:solidFill>
                            <a:srgbClr val="FFFFFF"/>
                          </a:solidFill>
                          <a:ln w="9525" cmpd="sng">
                            <a:solidFill>
                              <a:srgbClr val="000000"/>
                            </a:solidFill>
                            <a:round/>
                          </a:ln>
                        </wps:spPr>
                        <wps:txbx>
                          <w:txbxContent>
                            <w:p>
                              <w:pPr>
                                <w:jc w:val="center"/>
                                <w:rPr>
                                  <w:rFonts w:hint="eastAsia" w:ascii="宋体" w:hAnsi="宋体" w:cs="宋体"/>
                                  <w:sz w:val="18"/>
                                  <w:szCs w:val="18"/>
                                </w:rPr>
                              </w:pPr>
                              <w:r>
                                <w:rPr>
                                  <w:rFonts w:hint="eastAsia" w:ascii="宋体" w:hAnsi="宋体" w:cs="宋体"/>
                                  <w:sz w:val="18"/>
                                  <w:szCs w:val="18"/>
                                </w:rPr>
                                <w:t>事故得到控制</w:t>
                              </w:r>
                            </w:p>
                          </w:txbxContent>
                        </wps:txbx>
                        <wps:bodyPr rot="0" vert="horz" wrap="square" lIns="91440" tIns="45720" rIns="91440" bIns="45720" anchor="t" anchorCtr="0" upright="1">
                          <a:noAutofit/>
                        </wps:bodyPr>
                      </wps:wsp>
                      <wps:wsp>
                        <wps:cNvPr id="22" name="Oval 295"/>
                        <wps:cNvSpPr>
                          <a:spLocks noChangeArrowheads="1"/>
                        </wps:cNvSpPr>
                        <wps:spPr bwMode="auto">
                          <a:xfrm>
                            <a:off x="5791" y="5254"/>
                            <a:ext cx="1606" cy="656"/>
                          </a:xfrm>
                          <a:prstGeom prst="ellipse">
                            <a:avLst/>
                          </a:prstGeom>
                          <a:solidFill>
                            <a:srgbClr val="FFFFFF"/>
                          </a:solidFill>
                          <a:ln w="9525" cmpd="sng">
                            <a:solidFill>
                              <a:srgbClr val="000000"/>
                            </a:solidFill>
                            <a:round/>
                          </a:ln>
                        </wps:spPr>
                        <wps:txbx>
                          <w:txbxContent>
                            <w:p>
                              <w:pPr>
                                <w:pStyle w:val="7"/>
                                <w:jc w:val="center"/>
                                <w:rPr>
                                  <w:sz w:val="18"/>
                                  <w:szCs w:val="18"/>
                                </w:rPr>
                              </w:pPr>
                              <w:r>
                                <w:rPr>
                                  <w:rFonts w:hint="eastAsia"/>
                                  <w:sz w:val="18"/>
                                  <w:szCs w:val="18"/>
                                </w:rPr>
                                <w:t>事故升级</w:t>
                              </w:r>
                            </w:p>
                          </w:txbxContent>
                        </wps:txbx>
                        <wps:bodyPr rot="0" vert="horz" wrap="square" lIns="91440" tIns="45720" rIns="91440" bIns="45720" anchor="t" anchorCtr="0" upright="1">
                          <a:noAutofit/>
                        </wps:bodyPr>
                      </wps:wsp>
                      <wps:wsp>
                        <wps:cNvPr id="23" name="AutoShape 299"/>
                        <wps:cNvSpPr>
                          <a:spLocks noChangeArrowheads="1"/>
                        </wps:cNvSpPr>
                        <wps:spPr bwMode="auto">
                          <a:xfrm>
                            <a:off x="3583" y="4188"/>
                            <a:ext cx="2814" cy="994"/>
                          </a:xfrm>
                          <a:prstGeom prst="diamond">
                            <a:avLst/>
                          </a:prstGeom>
                          <a:solidFill>
                            <a:srgbClr val="FFFFFF"/>
                          </a:solidFill>
                          <a:ln w="9525" cmpd="sng">
                            <a:solidFill>
                              <a:srgbClr val="000000"/>
                            </a:solidFill>
                            <a:miter lim="800000"/>
                          </a:ln>
                        </wps:spPr>
                        <wps:txbx>
                          <w:txbxContent>
                            <w:p>
                              <w:pPr>
                                <w:jc w:val="center"/>
                                <w:rPr>
                                  <w:rFonts w:eastAsia="仿宋_GB2312"/>
                                </w:rPr>
                              </w:pPr>
                              <w:r>
                                <w:rPr>
                                  <w:rFonts w:hint="eastAsia" w:ascii="宋体" w:hAnsi="宋体" w:cs="宋体"/>
                                  <w:sz w:val="18"/>
                                  <w:szCs w:val="18"/>
                                </w:rPr>
                                <w:t>Ⅰ、Ⅱ、Ⅲ</w:t>
                              </w:r>
                              <w:r>
                                <w:rPr>
                                  <w:rFonts w:hint="eastAsia" w:eastAsia="仿宋_GB2312"/>
                                  <w:sz w:val="18"/>
                                  <w:szCs w:val="18"/>
                                </w:rPr>
                                <w:t>级</w:t>
                              </w:r>
                            </w:p>
                          </w:txbxContent>
                        </wps:txbx>
                        <wps:bodyPr rot="0" vert="horz" wrap="square" lIns="91440" tIns="45720" rIns="91440" bIns="45720" anchor="t" anchorCtr="0" upright="1">
                          <a:noAutofit/>
                        </wps:bodyPr>
                      </wps:wsp>
                      <wps:wsp>
                        <wps:cNvPr id="24" name="Line 302"/>
                        <wps:cNvCnPr>
                          <a:cxnSpLocks noChangeShapeType="1"/>
                        </wps:cNvCnPr>
                        <wps:spPr bwMode="auto">
                          <a:xfrm>
                            <a:off x="1652" y="3274"/>
                            <a:ext cx="1" cy="454"/>
                          </a:xfrm>
                          <a:prstGeom prst="line">
                            <a:avLst/>
                          </a:prstGeom>
                          <a:noFill/>
                          <a:ln w="9525" cmpd="sng">
                            <a:solidFill>
                              <a:srgbClr val="000000"/>
                            </a:solidFill>
                            <a:round/>
                            <a:tailEnd type="triangle" w="med" len="med"/>
                          </a:ln>
                        </wps:spPr>
                        <wps:bodyPr/>
                      </wps:wsp>
                      <wps:wsp>
                        <wps:cNvPr id="25" name="Line 303"/>
                        <wps:cNvCnPr>
                          <a:cxnSpLocks noChangeShapeType="1"/>
                        </wps:cNvCnPr>
                        <wps:spPr bwMode="auto">
                          <a:xfrm>
                            <a:off x="1619" y="5018"/>
                            <a:ext cx="0" cy="567"/>
                          </a:xfrm>
                          <a:prstGeom prst="straightConnector1">
                            <a:avLst/>
                          </a:prstGeom>
                          <a:noFill/>
                          <a:ln w="9525" cmpd="sng">
                            <a:solidFill>
                              <a:srgbClr val="000000"/>
                            </a:solidFill>
                            <a:round/>
                            <a:tailEnd type="triangle" w="med" len="med"/>
                          </a:ln>
                        </wps:spPr>
                        <wps:bodyPr/>
                      </wps:wsp>
                      <wps:wsp>
                        <wps:cNvPr id="26" name="Line 306"/>
                        <wps:cNvCnPr>
                          <a:cxnSpLocks noChangeShapeType="1"/>
                        </wps:cNvCnPr>
                        <wps:spPr bwMode="auto">
                          <a:xfrm flipV="1">
                            <a:off x="3177" y="4033"/>
                            <a:ext cx="1" cy="1984"/>
                          </a:xfrm>
                          <a:prstGeom prst="line">
                            <a:avLst/>
                          </a:prstGeom>
                          <a:noFill/>
                          <a:ln w="9525" cmpd="sng">
                            <a:solidFill>
                              <a:srgbClr val="000000"/>
                            </a:solidFill>
                            <a:round/>
                          </a:ln>
                        </wps:spPr>
                        <wps:bodyPr/>
                      </wps:wsp>
                      <wps:wsp>
                        <wps:cNvPr id="27" name="Line 309"/>
                        <wps:cNvCnPr>
                          <a:cxnSpLocks noChangeShapeType="1"/>
                        </wps:cNvCnPr>
                        <wps:spPr bwMode="auto">
                          <a:xfrm>
                            <a:off x="6400" y="4688"/>
                            <a:ext cx="583" cy="7"/>
                          </a:xfrm>
                          <a:prstGeom prst="line">
                            <a:avLst/>
                          </a:prstGeom>
                          <a:noFill/>
                          <a:ln w="9525" cmpd="sng">
                            <a:solidFill>
                              <a:srgbClr val="000000"/>
                            </a:solidFill>
                            <a:round/>
                          </a:ln>
                        </wps:spPr>
                        <wps:bodyPr/>
                      </wps:wsp>
                      <wps:wsp>
                        <wps:cNvPr id="28" name="Line 310"/>
                        <wps:cNvCnPr>
                          <a:cxnSpLocks noChangeShapeType="1"/>
                        </wps:cNvCnPr>
                        <wps:spPr bwMode="auto">
                          <a:xfrm>
                            <a:off x="4988" y="5194"/>
                            <a:ext cx="1" cy="664"/>
                          </a:xfrm>
                          <a:prstGeom prst="line">
                            <a:avLst/>
                          </a:prstGeom>
                          <a:noFill/>
                          <a:ln w="9525" cmpd="sng">
                            <a:solidFill>
                              <a:srgbClr val="000000"/>
                            </a:solidFill>
                            <a:round/>
                          </a:ln>
                        </wps:spPr>
                        <wps:bodyPr/>
                      </wps:wsp>
                      <wps:wsp>
                        <wps:cNvPr id="29" name="Line 311"/>
                        <wps:cNvCnPr>
                          <a:cxnSpLocks noChangeShapeType="1"/>
                        </wps:cNvCnPr>
                        <wps:spPr bwMode="auto">
                          <a:xfrm>
                            <a:off x="8000" y="5194"/>
                            <a:ext cx="1" cy="829"/>
                          </a:xfrm>
                          <a:prstGeom prst="line">
                            <a:avLst/>
                          </a:prstGeom>
                          <a:noFill/>
                          <a:ln w="9525" cmpd="sng">
                            <a:solidFill>
                              <a:srgbClr val="000000"/>
                            </a:solidFill>
                            <a:round/>
                            <a:tailEnd type="triangle" w="med" len="med"/>
                          </a:ln>
                        </wps:spPr>
                        <wps:bodyPr/>
                      </wps:wsp>
                      <wps:wsp>
                        <wps:cNvPr id="30" name="Line 312"/>
                        <wps:cNvCnPr>
                          <a:cxnSpLocks noChangeShapeType="1"/>
                        </wps:cNvCnPr>
                        <wps:spPr bwMode="auto">
                          <a:xfrm>
                            <a:off x="8012" y="7399"/>
                            <a:ext cx="1" cy="493"/>
                          </a:xfrm>
                          <a:prstGeom prst="line">
                            <a:avLst/>
                          </a:prstGeom>
                          <a:noFill/>
                          <a:ln w="9525" cmpd="sng">
                            <a:solidFill>
                              <a:srgbClr val="000000"/>
                            </a:solidFill>
                            <a:round/>
                            <a:tailEnd type="triangle" w="med" len="med"/>
                          </a:ln>
                        </wps:spPr>
                        <wps:bodyPr/>
                      </wps:wsp>
                      <wps:wsp>
                        <wps:cNvPr id="31" name="Line 313"/>
                        <wps:cNvCnPr>
                          <a:cxnSpLocks noChangeShapeType="1"/>
                        </wps:cNvCnPr>
                        <wps:spPr bwMode="auto">
                          <a:xfrm>
                            <a:off x="8037" y="8903"/>
                            <a:ext cx="1" cy="331"/>
                          </a:xfrm>
                          <a:prstGeom prst="line">
                            <a:avLst/>
                          </a:prstGeom>
                          <a:noFill/>
                          <a:ln w="9525" cmpd="sng">
                            <a:solidFill>
                              <a:srgbClr val="000000"/>
                            </a:solidFill>
                            <a:round/>
                            <a:tailEnd type="triangle" w="med" len="med"/>
                          </a:ln>
                        </wps:spPr>
                        <wps:bodyPr/>
                      </wps:wsp>
                      <wps:wsp>
                        <wps:cNvPr id="32" name="Line 315"/>
                        <wps:cNvCnPr>
                          <a:cxnSpLocks noChangeShapeType="1"/>
                        </wps:cNvCnPr>
                        <wps:spPr bwMode="auto">
                          <a:xfrm flipV="1">
                            <a:off x="6667" y="5908"/>
                            <a:ext cx="0" cy="2480"/>
                          </a:xfrm>
                          <a:prstGeom prst="line">
                            <a:avLst/>
                          </a:prstGeom>
                          <a:noFill/>
                          <a:ln w="9525" cmpd="sng">
                            <a:solidFill>
                              <a:srgbClr val="000000"/>
                            </a:solidFill>
                            <a:round/>
                          </a:ln>
                        </wps:spPr>
                        <wps:bodyPr/>
                      </wps:wsp>
                      <wps:wsp>
                        <wps:cNvPr id="33" name="Line 316"/>
                        <wps:cNvCnPr>
                          <a:cxnSpLocks noChangeShapeType="1"/>
                        </wps:cNvCnPr>
                        <wps:spPr bwMode="auto">
                          <a:xfrm flipH="1">
                            <a:off x="4988" y="5582"/>
                            <a:ext cx="803" cy="1"/>
                          </a:xfrm>
                          <a:prstGeom prst="line">
                            <a:avLst/>
                          </a:prstGeom>
                          <a:noFill/>
                          <a:ln w="9525" cmpd="sng">
                            <a:solidFill>
                              <a:srgbClr val="000000"/>
                            </a:solidFill>
                            <a:round/>
                            <a:tailEnd type="triangle" w="med" len="med"/>
                          </a:ln>
                        </wps:spPr>
                        <wps:bodyPr/>
                      </wps:wsp>
                      <wps:wsp>
                        <wps:cNvPr id="34" name="Line 323"/>
                        <wps:cNvCnPr>
                          <a:cxnSpLocks noChangeShapeType="1"/>
                        </wps:cNvCnPr>
                        <wps:spPr bwMode="auto">
                          <a:xfrm flipH="1">
                            <a:off x="2722" y="2875"/>
                            <a:ext cx="527" cy="1"/>
                          </a:xfrm>
                          <a:prstGeom prst="line">
                            <a:avLst/>
                          </a:prstGeom>
                          <a:noFill/>
                          <a:ln w="9525" cmpd="sng">
                            <a:solidFill>
                              <a:srgbClr val="000000"/>
                            </a:solidFill>
                            <a:round/>
                          </a:ln>
                        </wps:spPr>
                        <wps:bodyPr/>
                      </wps:wsp>
                      <wps:wsp>
                        <wps:cNvPr id="35" name="Line 325"/>
                        <wps:cNvCnPr>
                          <a:cxnSpLocks noChangeShapeType="1"/>
                        </wps:cNvCnPr>
                        <wps:spPr bwMode="auto">
                          <a:xfrm>
                            <a:off x="4892" y="9785"/>
                            <a:ext cx="1" cy="497"/>
                          </a:xfrm>
                          <a:prstGeom prst="line">
                            <a:avLst/>
                          </a:prstGeom>
                          <a:noFill/>
                          <a:ln w="9525" cmpd="sng">
                            <a:solidFill>
                              <a:srgbClr val="000000"/>
                            </a:solidFill>
                            <a:round/>
                            <a:tailEnd type="triangle" w="med" len="med"/>
                          </a:ln>
                        </wps:spPr>
                        <wps:bodyPr/>
                      </wps:wsp>
                      <wpg:grpSp>
                        <wpg:cNvPr id="36" name="Group 35"/>
                        <wpg:cNvGrpSpPr/>
                        <wpg:grpSpPr>
                          <a:xfrm>
                            <a:off x="2579" y="0"/>
                            <a:ext cx="4116" cy="4162"/>
                            <a:chOff x="0" y="0"/>
                            <a:chExt cx="4305" cy="4162"/>
                          </a:xfrm>
                        </wpg:grpSpPr>
                        <wps:wsp>
                          <wps:cNvPr id="37" name="Rectangle 282"/>
                          <wps:cNvSpPr>
                            <a:spLocks noChangeArrowheads="1"/>
                          </wps:cNvSpPr>
                          <wps:spPr bwMode="auto">
                            <a:xfrm>
                              <a:off x="1468" y="1577"/>
                              <a:ext cx="2207" cy="496"/>
                            </a:xfrm>
                            <a:prstGeom prst="rect">
                              <a:avLst/>
                            </a:prstGeom>
                            <a:solidFill>
                              <a:srgbClr val="FFFFFF"/>
                            </a:solidFill>
                            <a:ln w="9525" cmpd="sng">
                              <a:solidFill>
                                <a:srgbClr val="000000"/>
                              </a:solidFill>
                              <a:miter lim="800000"/>
                            </a:ln>
                          </wps:spPr>
                          <wps:txbx>
                            <w:txbxContent>
                              <w:p>
                                <w:pPr>
                                  <w:jc w:val="center"/>
                                  <w:rPr>
                                    <w:rFonts w:hint="eastAsia" w:eastAsia="仿宋_GB2312"/>
                                    <w:sz w:val="18"/>
                                    <w:szCs w:val="18"/>
                                  </w:rPr>
                                </w:pPr>
                                <w:r>
                                  <w:rPr>
                                    <w:rFonts w:hint="eastAsia" w:ascii="宋体" w:hAnsi="宋体" w:cs="宋体"/>
                                    <w:sz w:val="18"/>
                                    <w:szCs w:val="18"/>
                                  </w:rPr>
                                  <w:t>事发单位先期处置</w:t>
                                </w:r>
                              </w:p>
                            </w:txbxContent>
                          </wps:txbx>
                          <wps:bodyPr rot="0" vert="horz" wrap="square" lIns="91440" tIns="45720" rIns="91440" bIns="45720" anchor="t" anchorCtr="0" upright="1">
                            <a:noAutofit/>
                          </wps:bodyPr>
                        </wps:wsp>
                        <wps:wsp>
                          <wps:cNvPr id="38" name="Oval 283"/>
                          <wps:cNvSpPr>
                            <a:spLocks noChangeArrowheads="1"/>
                          </wps:cNvSpPr>
                          <wps:spPr bwMode="auto">
                            <a:xfrm>
                              <a:off x="0" y="3368"/>
                              <a:ext cx="1575" cy="656"/>
                            </a:xfrm>
                            <a:prstGeom prst="ellipse">
                              <a:avLst/>
                            </a:prstGeom>
                            <a:solidFill>
                              <a:srgbClr val="FFFFFF"/>
                            </a:solidFill>
                            <a:ln w="9525" cmpd="sng">
                              <a:solidFill>
                                <a:srgbClr val="000000"/>
                              </a:solidFill>
                              <a:round/>
                            </a:ln>
                          </wps:spPr>
                          <wps:txbx>
                            <w:txbxContent>
                              <w:p>
                                <w:pPr>
                                  <w:jc w:val="center"/>
                                  <w:rPr>
                                    <w:rFonts w:hint="eastAsia" w:ascii="宋体" w:hAnsi="宋体" w:cs="宋体"/>
                                  </w:rPr>
                                </w:pPr>
                                <w:r>
                                  <w:rPr>
                                    <w:rFonts w:hint="eastAsia" w:ascii="宋体" w:hAnsi="宋体" w:cs="宋体"/>
                                    <w:sz w:val="18"/>
                                    <w:szCs w:val="18"/>
                                  </w:rPr>
                                  <w:t>事故升级</w:t>
                                </w:r>
                              </w:p>
                            </w:txbxContent>
                          </wps:txbx>
                          <wps:bodyPr rot="0" vert="horz" wrap="square" lIns="91440" tIns="45720" rIns="91440" bIns="45720" anchor="t" anchorCtr="0" upright="1">
                            <a:noAutofit/>
                          </wps:bodyPr>
                        </wps:wsp>
                        <wps:wsp>
                          <wps:cNvPr id="39" name="AutoShape 297"/>
                          <wps:cNvSpPr>
                            <a:spLocks noChangeArrowheads="1"/>
                          </wps:cNvSpPr>
                          <wps:spPr bwMode="auto">
                            <a:xfrm>
                              <a:off x="700" y="2405"/>
                              <a:ext cx="3605" cy="963"/>
                            </a:xfrm>
                            <a:prstGeom prst="diamond">
                              <a:avLst/>
                            </a:prstGeom>
                            <a:solidFill>
                              <a:srgbClr val="FFFFFF"/>
                            </a:solidFill>
                            <a:ln w="9525" cmpd="sng">
                              <a:solidFill>
                                <a:srgbClr val="000000"/>
                              </a:solidFill>
                              <a:miter lim="800000"/>
                            </a:ln>
                          </wps:spPr>
                          <wps:txbx>
                            <w:txbxContent>
                              <w:p>
                                <w:pPr>
                                  <w:jc w:val="center"/>
                                  <w:rPr>
                                    <w:rFonts w:hint="eastAsia" w:ascii="宋体" w:hAnsi="宋体" w:cs="宋体"/>
                                    <w:sz w:val="18"/>
                                    <w:szCs w:val="18"/>
                                  </w:rPr>
                                </w:pPr>
                                <w:r>
                                  <w:rPr>
                                    <w:rFonts w:hint="eastAsia" w:ascii="宋体" w:hAnsi="宋体" w:cs="宋体"/>
                                    <w:sz w:val="18"/>
                                    <w:szCs w:val="18"/>
                                  </w:rPr>
                                  <w:t>Ⅰ、Ⅱ、Ⅲ、Ⅳ级</w:t>
                                </w:r>
                              </w:p>
                            </w:txbxContent>
                          </wps:txbx>
                          <wps:bodyPr rot="0" vert="horz" wrap="square" lIns="91440" tIns="45720" rIns="91440" bIns="45720" anchor="t" anchorCtr="0" upright="1">
                            <a:noAutofit/>
                          </wps:bodyPr>
                        </wps:wsp>
                        <wps:wsp>
                          <wps:cNvPr id="40" name="Line 301"/>
                          <wps:cNvCnPr>
                            <a:cxnSpLocks noChangeShapeType="1"/>
                          </wps:cNvCnPr>
                          <wps:spPr bwMode="auto">
                            <a:xfrm>
                              <a:off x="2520" y="1069"/>
                              <a:ext cx="1" cy="499"/>
                            </a:xfrm>
                            <a:prstGeom prst="line">
                              <a:avLst/>
                            </a:prstGeom>
                            <a:noFill/>
                            <a:ln w="9525" cmpd="sng">
                              <a:solidFill>
                                <a:srgbClr val="000000"/>
                              </a:solidFill>
                              <a:round/>
                              <a:tailEnd type="triangle" w="med" len="med"/>
                            </a:ln>
                          </wps:spPr>
                          <wps:bodyPr/>
                        </wps:wsp>
                        <wps:wsp>
                          <wps:cNvPr id="41" name="Line 307"/>
                          <wps:cNvCnPr>
                            <a:cxnSpLocks noChangeShapeType="1"/>
                          </wps:cNvCnPr>
                          <wps:spPr bwMode="auto">
                            <a:xfrm>
                              <a:off x="1585" y="3696"/>
                              <a:ext cx="920" cy="1"/>
                            </a:xfrm>
                            <a:prstGeom prst="line">
                              <a:avLst/>
                            </a:prstGeom>
                            <a:noFill/>
                            <a:ln w="9525" cmpd="sng">
                              <a:solidFill>
                                <a:srgbClr val="000000"/>
                              </a:solidFill>
                              <a:round/>
                              <a:tailEnd type="triangle" w="med" len="med"/>
                            </a:ln>
                          </wps:spPr>
                          <wps:bodyPr/>
                        </wps:wsp>
                        <wps:wsp>
                          <wps:cNvPr id="42" name="Line 321"/>
                          <wps:cNvCnPr>
                            <a:cxnSpLocks noChangeShapeType="1"/>
                          </wps:cNvCnPr>
                          <wps:spPr bwMode="auto">
                            <a:xfrm>
                              <a:off x="2520" y="2073"/>
                              <a:ext cx="1" cy="332"/>
                            </a:xfrm>
                            <a:prstGeom prst="line">
                              <a:avLst/>
                            </a:prstGeom>
                            <a:noFill/>
                            <a:ln w="9525" cmpd="sng">
                              <a:solidFill>
                                <a:srgbClr val="000000"/>
                              </a:solidFill>
                              <a:round/>
                              <a:tailEnd type="triangle" w="med" len="med"/>
                            </a:ln>
                          </wps:spPr>
                          <wps:bodyPr/>
                        </wps:wsp>
                        <wps:wsp>
                          <wps:cNvPr id="43" name="Line 322"/>
                          <wps:cNvCnPr>
                            <a:cxnSpLocks noChangeShapeType="1"/>
                          </wps:cNvCnPr>
                          <wps:spPr bwMode="auto">
                            <a:xfrm>
                              <a:off x="2520" y="3368"/>
                              <a:ext cx="1" cy="794"/>
                            </a:xfrm>
                            <a:prstGeom prst="line">
                              <a:avLst/>
                            </a:prstGeom>
                            <a:noFill/>
                            <a:ln w="9525" cmpd="sng">
                              <a:solidFill>
                                <a:srgbClr val="000000"/>
                              </a:solidFill>
                              <a:round/>
                              <a:tailEnd type="triangle" w="med" len="med"/>
                            </a:ln>
                          </wps:spPr>
                          <wps:bodyPr/>
                        </wps:wsp>
                        <wps:wsp>
                          <wps:cNvPr id="44" name="Oval 281"/>
                          <wps:cNvSpPr>
                            <a:spLocks noChangeArrowheads="1"/>
                          </wps:cNvSpPr>
                          <wps:spPr bwMode="auto">
                            <a:xfrm>
                              <a:off x="1468" y="0"/>
                              <a:ext cx="2160" cy="1069"/>
                            </a:xfrm>
                            <a:prstGeom prst="ellipse">
                              <a:avLst/>
                            </a:prstGeom>
                            <a:solidFill>
                              <a:srgbClr val="FFFFFF"/>
                            </a:solidFill>
                            <a:ln w="9525" cmpd="sng">
                              <a:solidFill>
                                <a:srgbClr val="000000"/>
                              </a:solidFill>
                              <a:round/>
                            </a:ln>
                          </wps:spPr>
                          <wps:txbx>
                            <w:txbxContent>
                              <w:p>
                                <w:pPr>
                                  <w:spacing w:after="0" w:line="240" w:lineRule="auto"/>
                                  <w:jc w:val="center"/>
                                  <w:rPr>
                                    <w:rFonts w:hint="eastAsia" w:ascii="宋体" w:hAnsi="宋体" w:cs="宋体"/>
                                    <w:sz w:val="18"/>
                                    <w:szCs w:val="18"/>
                                  </w:rPr>
                                </w:pPr>
                                <w:r>
                                  <w:rPr>
                                    <w:rFonts w:hint="eastAsia" w:ascii="宋体" w:hAnsi="宋体" w:cs="宋体"/>
                                    <w:sz w:val="18"/>
                                    <w:szCs w:val="18"/>
                                  </w:rPr>
                                  <w:t>危险化学品生产安全事故</w:t>
                                </w:r>
                              </w:p>
                            </w:txbxContent>
                          </wps:txbx>
                          <wps:bodyPr rot="0" vert="horz" wrap="square" lIns="91440" tIns="45720" rIns="91440" bIns="45720" anchor="t" anchorCtr="0" upright="1">
                            <a:noAutofit/>
                          </wps:bodyPr>
                        </wps:wsp>
                      </wpg:grpSp>
                      <wps:wsp>
                        <wps:cNvPr id="45" name="Rectangle 288"/>
                        <wps:cNvSpPr>
                          <a:spLocks noChangeArrowheads="1"/>
                        </wps:cNvSpPr>
                        <wps:spPr bwMode="auto">
                          <a:xfrm>
                            <a:off x="716" y="8135"/>
                            <a:ext cx="1758" cy="496"/>
                          </a:xfrm>
                          <a:prstGeom prst="rect">
                            <a:avLst/>
                          </a:prstGeom>
                          <a:solidFill>
                            <a:srgbClr val="FFFFFF"/>
                          </a:solidFill>
                          <a:ln w="9525" cmpd="sng">
                            <a:solidFill>
                              <a:srgbClr val="000000"/>
                            </a:solidFill>
                            <a:miter lim="800000"/>
                          </a:ln>
                        </wps:spPr>
                        <wps:txbx>
                          <w:txbxContent>
                            <w:p>
                              <w:pPr>
                                <w:jc w:val="center"/>
                                <w:rPr>
                                  <w:rFonts w:hint="eastAsia" w:ascii="宋体" w:hAnsi="宋体" w:cs="宋体"/>
                                  <w:sz w:val="18"/>
                                  <w:szCs w:val="18"/>
                                </w:rPr>
                              </w:pPr>
                              <w:r>
                                <w:rPr>
                                  <w:rFonts w:hint="eastAsia" w:ascii="宋体" w:hAnsi="宋体" w:cs="宋体"/>
                                  <w:sz w:val="18"/>
                                  <w:szCs w:val="18"/>
                                </w:rPr>
                                <w:t>应急结束</w:t>
                              </w:r>
                            </w:p>
                          </w:txbxContent>
                        </wps:txbx>
                        <wps:bodyPr rot="0" vert="horz" wrap="square" lIns="91440" tIns="45720" rIns="91440" bIns="45720" anchor="t" anchorCtr="0" upright="1">
                          <a:noAutofit/>
                        </wps:bodyPr>
                      </wps:wsp>
                    </wpg:wgp>
                  </a:graphicData>
                </a:graphic>
              </wp:anchor>
            </w:drawing>
          </mc:Choice>
          <mc:Fallback>
            <w:pict>
              <v:group id="Group 2" o:spid="_x0000_s1026" o:spt="203" style="position:absolute;left:0pt;margin-left:-13.15pt;margin-top:21.85pt;height:548.55pt;width:470.25pt;z-index:251659264;mso-width-relative:page;mso-height-relative:page;" coordsize="9405,10971" o:gfxdata="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">
                <o:lock v:ext="edit" aspectratio="f"/>
                <v:shape id="Oval 281" o:spid="_x0000_s1026" o:spt="3" type="#_x0000_t3" style="position:absolute;left:616;top:2189;height:1081;width:2121;" fillcolor="#FFFFFF" filled="t" stroked="t" coordsize="21600,21600" o:gfxdata="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lT7Yq8AAAA&#10;2g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pPr>
                          <w:spacing w:after="0" w:line="240" w:lineRule="auto"/>
                          <w:jc w:val="center"/>
                          <w:rPr>
                            <w:rFonts w:ascii="宋体" w:hAnsi="宋体" w:cs="宋体"/>
                            <w:sz w:val="18"/>
                            <w:szCs w:val="18"/>
                          </w:rPr>
                        </w:pPr>
                        <w:r>
                          <w:rPr>
                            <w:rFonts w:hint="eastAsia" w:ascii="宋体" w:hAnsi="宋体" w:cs="宋体"/>
                            <w:sz w:val="18"/>
                            <w:szCs w:val="18"/>
                          </w:rPr>
                          <w:t>Ⅳ级危险化学品生产安全事故</w:t>
                        </w:r>
                      </w:p>
                    </w:txbxContent>
                  </v:textbox>
                </v:shape>
                <v:shape id="AutoShape 326" o:spid="_x0000_s1026" o:spt="4" type="#_x0000_t4" style="position:absolute;left:0;top:5607;height:821;width:3212;" fillcolor="#FFFFFF" filled="t" stroked="t" coordsize="21600,21600" o:gfxdata="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0qCbbsAAADa&#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w:txbxContent>
                      <w:p>
                        <w:pPr>
                          <w:pStyle w:val="7"/>
                          <w:jc w:val="center"/>
                          <w:rPr>
                            <w:sz w:val="18"/>
                            <w:szCs w:val="18"/>
                          </w:rPr>
                        </w:pPr>
                        <w:r>
                          <w:rPr>
                            <w:rFonts w:hint="eastAsia"/>
                            <w:sz w:val="18"/>
                            <w:szCs w:val="18"/>
                          </w:rPr>
                          <w:t>关注事态发展</w:t>
                        </w:r>
                      </w:p>
                      <w:p>
                        <w:pPr>
                          <w:jc w:val="center"/>
                          <w:rPr>
                            <w:rFonts w:eastAsia="仿宋_GB2312"/>
                          </w:rPr>
                        </w:pPr>
                      </w:p>
                    </w:txbxContent>
                  </v:textbox>
                </v:shape>
                <v:line id="Line 314" o:spid="_x0000_s1026" o:spt="20" style="position:absolute;left:4902;top:6905;height:454;width:1;" filled="f" stroked="t" coordsize="21600,21600" o:gfxdata="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q2BqvQAA&#10;ANo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314" o:spid="_x0000_s1026" o:spt="20" style="position:absolute;left:8047;top:9935;height:497;width:0;" filled="f" stroked="t" coordsize="21600,21600" o:gfxdata="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fF8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314" o:spid="_x0000_s1026" o:spt="20" style="position:absolute;left:1607;top:7613;height:497;width:1;" filled="f" stroked="t" coordsize="21600,21600" o:gfxdata="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eFGDugAAANo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line>
                <v:shape id="Oval 290" o:spid="_x0000_s1026" o:spt="3" type="#_x0000_t3" style="position:absolute;left:446;top:6940;height:656;width:2309;" fillcolor="#FFFFFF" filled="t" stroked="t" coordsize="21600,21600" o:gfxdata="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dSQhS8AAAA&#10;2g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pPr>
                          <w:jc w:val="center"/>
                          <w:rPr>
                            <w:rFonts w:hint="eastAsia" w:ascii="宋体" w:hAnsi="宋体" w:cs="宋体"/>
                            <w:sz w:val="18"/>
                            <w:szCs w:val="18"/>
                          </w:rPr>
                        </w:pPr>
                        <w:r>
                          <w:rPr>
                            <w:rFonts w:hint="eastAsia" w:ascii="宋体" w:hAnsi="宋体" w:cs="宋体"/>
                            <w:sz w:val="18"/>
                            <w:szCs w:val="18"/>
                          </w:rPr>
                          <w:t>事故得到控制</w:t>
                        </w:r>
                      </w:p>
                    </w:txbxContent>
                  </v:textbox>
                </v:shape>
                <v:line id="Line 314" o:spid="_x0000_s1026" o:spt="20" style="position:absolute;left:1613;top:6430;height:497;width:1;" filled="f" stroked="t" coordsize="21600,21600" o:gfxdata="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mp/K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Line 317" o:spid="_x0000_s1026" o:spt="34" type="#_x0000_t34" style="position:absolute;left:4554;top:8762;flip:x;height:1;width:497;rotation:5898240f;" filled="f" stroked="t" coordsize="21600,21600" o:gfxdata="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9PJGrgAAADbAAAA&#10;DwAAAAAAAAABACAAAAAiAAAAZHJzL2Rvd25yZXYueG1sUEsBAhQAFAAAAAgAh07iQDMvBZ47AAAA&#10;OQAAABAAAAAAAAAAAQAgAAAABwEAAGRycy9zaGFwZXhtbC54bWxQSwUGAAAAAAYABgBbAQAAsQMA&#10;AAAA&#10;" adj="10778">
                  <v:fill on="f" focussize="0,0"/>
                  <v:stroke color="#000000" miterlimit="8" joinstyle="miter" endarrow="block"/>
                  <v:imagedata o:title=""/>
                  <o:lock v:ext="edit" aspectratio="f"/>
                </v:shape>
                <v:shape id="AutoShape 280" o:spid="_x0000_s1026" o:spt="4" type="#_x0000_t4" style="position:absolute;left:6652;top:7918;height:985;width:2753;" fillcolor="#FFFFFF" filled="t" stroked="t" coordsize="21600,21600" o:gfxdata="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r+AUG5AAAA2wAA&#10;AA8AAAAAAAAAAQAgAAAAIgAAAGRycy9kb3ducmV2LnhtbFBLAQIUABQAAAAIAIdO4kAzLwWeOwAA&#10;ADkAAAAQAAAAAAAAAAEAIAAAAAgBAABkcnMvc2hhcGV4bWwueG1sUEsFBgAAAAAGAAYAWwEAALID&#10;AAAAAA==&#10;">
                  <v:fill on="t" focussize="0,0"/>
                  <v:stroke color="#000000" miterlimit="8" joinstyle="miter"/>
                  <v:imagedata o:title=""/>
                  <o:lock v:ext="edit" aspectratio="f"/>
                  <v:textbox>
                    <w:txbxContent>
                      <w:p>
                        <w:pPr>
                          <w:jc w:val="center"/>
                          <w:rPr>
                            <w:rFonts w:ascii="仿宋_GB2312" w:hAnsi="宋体"/>
                          </w:rPr>
                        </w:pPr>
                        <w:r>
                          <w:rPr>
                            <w:rFonts w:hint="eastAsia" w:ascii="宋体" w:hAnsi="宋体" w:cs="宋体"/>
                            <w:sz w:val="18"/>
                            <w:szCs w:val="18"/>
                          </w:rPr>
                          <w:t>关注事态发展</w:t>
                        </w:r>
                      </w:p>
                    </w:txbxContent>
                  </v:textbox>
                </v:shape>
                <v:rect id="Rectangle 284" o:spid="_x0000_s1026" o:spt="1" style="position:absolute;left:7170;top:10441;height:530;width:1758;"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rPr>
                            <w:rFonts w:hint="eastAsia" w:eastAsia="仿宋_GB2312"/>
                            <w:sz w:val="18"/>
                            <w:szCs w:val="18"/>
                          </w:rPr>
                        </w:pPr>
                        <w:r>
                          <w:rPr>
                            <w:rFonts w:hint="eastAsia" w:ascii="宋体" w:hAnsi="宋体" w:cs="宋体"/>
                            <w:sz w:val="18"/>
                            <w:szCs w:val="18"/>
                          </w:rPr>
                          <w:t>应急结束</w:t>
                        </w:r>
                      </w:p>
                    </w:txbxContent>
                  </v:textbox>
                </v:rect>
                <v:rect id="Rectangle 285" o:spid="_x0000_s1026" o:spt="1" style="position:absolute;left:7145;top:6074;height:1314;width:1901;" fillcolor="#FFFFFF" filled="t" stroked="t" coordsize="21600,21600" o:gfxdata="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pxiS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both"/>
                          <w:rPr>
                            <w:rFonts w:hint="eastAsia" w:ascii="宋体" w:hAnsi="宋体" w:cs="宋体"/>
                            <w:sz w:val="18"/>
                            <w:szCs w:val="18"/>
                          </w:rPr>
                        </w:pPr>
                        <w:r>
                          <w:rPr>
                            <w:rFonts w:hint="eastAsia" w:ascii="宋体" w:hAnsi="宋体" w:cs="宋体"/>
                            <w:sz w:val="18"/>
                            <w:szCs w:val="18"/>
                          </w:rPr>
                          <w:t>由市应急指挥部启动Ⅲ级应急响应，设立现场指挥部，指挥应急抢险救援</w:t>
                        </w:r>
                      </w:p>
                    </w:txbxContent>
                  </v:textbox>
                </v:rect>
                <v:rect id="Rectangle 286" o:spid="_x0000_s1026" o:spt="1" style="position:absolute;left:4033;top:7368;height:1255;width:1758;" fillcolor="#FFFFFF" filled="t" stroked="t" coordsize="21600,21600" o:gfxdata="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670J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both"/>
                          <w:rPr>
                            <w:rFonts w:hint="eastAsia" w:ascii="宋体" w:hAnsi="宋体" w:cs="宋体"/>
                            <w:sz w:val="18"/>
                            <w:szCs w:val="18"/>
                          </w:rPr>
                        </w:pPr>
                        <w:r>
                          <w:rPr>
                            <w:rFonts w:hint="eastAsia" w:ascii="宋体" w:hAnsi="宋体" w:cs="宋体"/>
                            <w:sz w:val="18"/>
                            <w:szCs w:val="18"/>
                          </w:rPr>
                          <w:t>按上一级相关预案规定开展先期处置工作，并关注事态发展</w:t>
                        </w:r>
                      </w:p>
                    </w:txbxContent>
                  </v:textbox>
                </v:rect>
                <v:rect id="Rectangle 287" o:spid="_x0000_s1026" o:spt="1" style="position:absolute;left:616;top:3726;height:1302;width:1914;" fillcolor="#FFFFFF" filled="t" stroked="t" coordsize="21600,21600" o:gfxdata="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OSN+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rPr>
                            <w:rFonts w:hint="eastAsia" w:ascii="宋体" w:hAnsi="宋体" w:cs="宋体"/>
                            <w:szCs w:val="21"/>
                          </w:rPr>
                        </w:pPr>
                        <w:r>
                          <w:rPr>
                            <w:rFonts w:hint="eastAsia" w:ascii="宋体" w:hAnsi="宋体" w:cs="宋体"/>
                            <w:sz w:val="18"/>
                            <w:szCs w:val="18"/>
                          </w:rPr>
                          <w:t>事发</w:t>
                        </w:r>
                        <w:r>
                          <w:rPr>
                            <w:rFonts w:hint="eastAsia" w:ascii="宋体" w:hAnsi="宋体" w:cs="宋体"/>
                            <w:sz w:val="18"/>
                            <w:szCs w:val="18"/>
                            <w:lang w:val="en-US"/>
                          </w:rPr>
                          <w:t>区</w:t>
                        </w:r>
                        <w:r>
                          <w:rPr>
                            <w:rFonts w:hint="eastAsia" w:ascii="宋体" w:hAnsi="宋体" w:cs="宋体"/>
                            <w:sz w:val="18"/>
                            <w:szCs w:val="18"/>
                          </w:rPr>
                          <w:t>政府启动Ⅳ级应急响应，直接指挥应急抢险救援</w:t>
                        </w:r>
                      </w:p>
                    </w:txbxContent>
                  </v:textbox>
                </v:rect>
                <v:rect id="Rectangle 288" o:spid="_x0000_s1026" o:spt="1" style="position:absolute;left:4000;top:10310;height:496;width:1758;" fillcolor="#FFFFFF" filled="t" stroked="t" coordsize="21600,21600" o:gfxdata="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dYbl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rPr>
                            <w:rFonts w:hint="eastAsia" w:ascii="宋体" w:hAnsi="宋体" w:cs="宋体"/>
                            <w:sz w:val="18"/>
                            <w:szCs w:val="18"/>
                          </w:rPr>
                        </w:pPr>
                        <w:r>
                          <w:rPr>
                            <w:rFonts w:hint="eastAsia" w:ascii="宋体" w:hAnsi="宋体" w:cs="宋体"/>
                            <w:sz w:val="18"/>
                            <w:szCs w:val="18"/>
                          </w:rPr>
                          <w:t>应急结束</w:t>
                        </w:r>
                      </w:p>
                    </w:txbxContent>
                  </v:textbox>
                </v:rect>
                <v:shape id="Oval 291" o:spid="_x0000_s1026" o:spt="3" type="#_x0000_t3" style="position:absolute;left:6994;top:4024;height:1153;width:2110;" fillcolor="#FFFFFF" filled="t" stroked="t" coordsize="21600,21600" o:gfxdata="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vNd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w:txbxContent>
                      <w:p>
                        <w:pPr>
                          <w:jc w:val="center"/>
                          <w:rPr>
                            <w:rFonts w:hint="eastAsia" w:ascii="宋体" w:hAnsi="宋体" w:cs="宋体"/>
                            <w:sz w:val="18"/>
                            <w:szCs w:val="18"/>
                          </w:rPr>
                        </w:pPr>
                        <w:r>
                          <w:rPr>
                            <w:rFonts w:hint="eastAsia" w:ascii="宋体" w:hAnsi="宋体" w:cs="宋体"/>
                            <w:sz w:val="18"/>
                            <w:szCs w:val="18"/>
                          </w:rPr>
                          <w:t>Ⅲ级危险化学品生产安全事故</w:t>
                        </w:r>
                      </w:p>
                      <w:p>
                        <w:pPr>
                          <w:jc w:val="center"/>
                          <w:rPr>
                            <w:rFonts w:hint="eastAsia" w:eastAsia="仿宋_GB2312"/>
                            <w:sz w:val="18"/>
                            <w:szCs w:val="18"/>
                          </w:rPr>
                        </w:pPr>
                      </w:p>
                      <w:p>
                        <w:pPr>
                          <w:jc w:val="center"/>
                          <w:rPr>
                            <w:rFonts w:hint="eastAsia" w:eastAsia="仿宋_GB2312"/>
                            <w:sz w:val="18"/>
                            <w:szCs w:val="18"/>
                          </w:rPr>
                        </w:pPr>
                        <w:r>
                          <w:rPr>
                            <w:rFonts w:hint="eastAsia" w:eastAsia="仿宋_GB2312"/>
                            <w:sz w:val="18"/>
                            <w:szCs w:val="18"/>
                          </w:rPr>
                          <w:t>事故</w:t>
                        </w:r>
                      </w:p>
                    </w:txbxContent>
                  </v:textbox>
                </v:shape>
                <v:shape id="Oval 292" o:spid="_x0000_s1026" o:spt="3" type="#_x0000_t3" style="position:absolute;left:3729;top:5865;height:1069;width:2347;" fillcolor="#FFFFFF" filled="t" stroked="t" coordsize="21600,21600" o:gfxdata="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tlbGugAAANsA&#10;AAAPAAAAAAAAAAEAIAAAACIAAABkcnMvZG93bnJldi54bWxQSwECFAAUAAAACACHTuJAMy8FnjsA&#10;AAA5AAAAEAAAAAAAAAABACAAAAAJAQAAZHJzL3NoYXBleG1sLnhtbFBLBQYAAAAABgAGAFsBAACz&#10;AwAAAAA=&#10;">
                  <v:fill on="t" focussize="0,0"/>
                  <v:stroke color="#000000" joinstyle="round"/>
                  <v:imagedata o:title=""/>
                  <o:lock v:ext="edit" aspectratio="f"/>
                  <v:textbox>
                    <w:txbxContent>
                      <w:p>
                        <w:pPr>
                          <w:jc w:val="center"/>
                          <w:rPr>
                            <w:rFonts w:hint="eastAsia" w:ascii="宋体" w:hAnsi="宋体" w:cs="宋体"/>
                            <w:sz w:val="18"/>
                            <w:szCs w:val="18"/>
                          </w:rPr>
                        </w:pPr>
                        <w:r>
                          <w:rPr>
                            <w:rFonts w:hint="eastAsia" w:ascii="宋体" w:hAnsi="宋体" w:cs="宋体"/>
                            <w:sz w:val="18"/>
                            <w:szCs w:val="18"/>
                          </w:rPr>
                          <w:t>Ⅰ、Ⅱ级危险化学品生产安全事故</w:t>
                        </w:r>
                      </w:p>
                      <w:p>
                        <w:pPr>
                          <w:jc w:val="center"/>
                          <w:rPr>
                            <w:rFonts w:eastAsia="仿宋_GB2312"/>
                            <w:sz w:val="18"/>
                            <w:szCs w:val="18"/>
                          </w:rPr>
                        </w:pPr>
                      </w:p>
                      <w:p>
                        <w:pPr>
                          <w:jc w:val="center"/>
                          <w:rPr>
                            <w:rFonts w:eastAsia="仿宋_GB2312"/>
                          </w:rPr>
                        </w:pPr>
                        <w:r>
                          <w:rPr>
                            <w:rFonts w:hint="eastAsia" w:eastAsia="仿宋_GB2312"/>
                          </w:rPr>
                          <w:t>事故</w:t>
                        </w:r>
                      </w:p>
                    </w:txbxContent>
                  </v:textbox>
                </v:shape>
                <v:shape id="Oval 293" o:spid="_x0000_s1026" o:spt="3" type="#_x0000_t3" style="position:absolute;left:3826;top:9112;height:657;width:2108;" fillcolor="#FFFFFF" filled="t" stroked="t" coordsize="21600,21600" o:gfxdata="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XgNea5AAAA2wAA&#10;AA8AAAAAAAAAAQAgAAAAIgAAAGRycy9kb3ducmV2LnhtbFBLAQIUABQAAAAIAIdO4kAzLwWeOwAA&#10;ADkAAAAQAAAAAAAAAAEAIAAAAAgBAABkcnMvc2hhcGV4bWwueG1sUEsFBgAAAAAGAAYAWwEAALID&#10;AAAAAA==&#10;">
                  <v:fill on="t" focussize="0,0"/>
                  <v:stroke color="#000000" joinstyle="round"/>
                  <v:imagedata o:title=""/>
                  <o:lock v:ext="edit" aspectratio="f"/>
                  <v:textbox>
                    <w:txbxContent>
                      <w:p>
                        <w:pPr>
                          <w:jc w:val="center"/>
                          <w:rPr>
                            <w:rFonts w:hint="eastAsia" w:eastAsia="仿宋_GB2312"/>
                            <w:sz w:val="18"/>
                            <w:szCs w:val="18"/>
                          </w:rPr>
                        </w:pPr>
                        <w:r>
                          <w:rPr>
                            <w:rFonts w:hint="eastAsia" w:ascii="宋体" w:hAnsi="宋体" w:cs="宋体"/>
                            <w:sz w:val="18"/>
                            <w:szCs w:val="18"/>
                          </w:rPr>
                          <w:t>事故得到控制</w:t>
                        </w:r>
                      </w:p>
                    </w:txbxContent>
                  </v:textbox>
                </v:shape>
                <v:shape id="Oval 294" o:spid="_x0000_s1026" o:spt="3" type="#_x0000_t3" style="position:absolute;left:7008;top:9256;height:657;width:2060;" fillcolor="#FFFFFF" filled="t" stroked="t" coordsize="21600,21600" o:gfxdata="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qskH2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pPr>
                          <w:jc w:val="center"/>
                          <w:rPr>
                            <w:rFonts w:hint="eastAsia" w:ascii="宋体" w:hAnsi="宋体" w:cs="宋体"/>
                            <w:sz w:val="18"/>
                            <w:szCs w:val="18"/>
                          </w:rPr>
                        </w:pPr>
                        <w:r>
                          <w:rPr>
                            <w:rFonts w:hint="eastAsia" w:ascii="宋体" w:hAnsi="宋体" w:cs="宋体"/>
                            <w:sz w:val="18"/>
                            <w:szCs w:val="18"/>
                          </w:rPr>
                          <w:t>事故得到控制</w:t>
                        </w:r>
                      </w:p>
                    </w:txbxContent>
                  </v:textbox>
                </v:shape>
                <v:shape id="Oval 295" o:spid="_x0000_s1026" o:spt="3" type="#_x0000_t3" style="position:absolute;left:5791;top:5254;height:656;width:1606;" fillcolor="#FFFFFF" filled="t" stroked="t" coordsize="21600,21600" o:gfxdata="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Dgq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pPr>
                          <w:pStyle w:val="7"/>
                          <w:jc w:val="center"/>
                          <w:rPr>
                            <w:sz w:val="18"/>
                            <w:szCs w:val="18"/>
                          </w:rPr>
                        </w:pPr>
                        <w:r>
                          <w:rPr>
                            <w:rFonts w:hint="eastAsia"/>
                            <w:sz w:val="18"/>
                            <w:szCs w:val="18"/>
                          </w:rPr>
                          <w:t>事故升级</w:t>
                        </w:r>
                      </w:p>
                    </w:txbxContent>
                  </v:textbox>
                </v:shape>
                <v:shape id="AutoShape 299" o:spid="_x0000_s1026" o:spt="4" type="#_x0000_t4" style="position:absolute;left:3583;top:4188;height:994;width:2814;" fillcolor="#FFFFFF" filled="t" stroked="t" coordsize="21600,21600" o:gfxdata="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ebme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rFonts w:eastAsia="仿宋_GB2312"/>
                          </w:rPr>
                        </w:pPr>
                        <w:r>
                          <w:rPr>
                            <w:rFonts w:hint="eastAsia" w:ascii="宋体" w:hAnsi="宋体" w:cs="宋体"/>
                            <w:sz w:val="18"/>
                            <w:szCs w:val="18"/>
                          </w:rPr>
                          <w:t>Ⅰ、Ⅱ、Ⅲ</w:t>
                        </w:r>
                        <w:r>
                          <w:rPr>
                            <w:rFonts w:hint="eastAsia" w:eastAsia="仿宋_GB2312"/>
                            <w:sz w:val="18"/>
                            <w:szCs w:val="18"/>
                          </w:rPr>
                          <w:t>级</w:t>
                        </w:r>
                      </w:p>
                    </w:txbxContent>
                  </v:textbox>
                </v:shape>
                <v:line id="Line 302" o:spid="_x0000_s1026" o:spt="20" style="position:absolute;left:1652;top:3274;height:454;width:1;" filled="f" stroked="t" coordsize="21600,21600" o:gfxdata="UEsDBAoAAAAAAIdO4kAAAAAAAAAAAAAAAAAEAAAAZHJzL1BLAwQUAAAACACHTuJA2P4wFb8AAADb&#10;AAAADwAAAGRycy9kb3ducmV2LnhtbEWPT2vCQBTE7wW/w/IEb3UTk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MB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Line 303" o:spid="_x0000_s1026" o:spt="32" type="#_x0000_t32" style="position:absolute;left:1619;top:5018;height:567;width:0;" filled="f" stroked="t" coordsize="21600,21600" o:gfxdata="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ZeA3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line id="Line 306" o:spid="_x0000_s1026" o:spt="20" style="position:absolute;left:3177;top:4033;flip:y;height:1984;width:1;" filled="f" stroked="t" coordsize="21600,21600" o:gfxdata="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7Gd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Line 309" o:spid="_x0000_s1026" o:spt="20" style="position:absolute;left:6400;top:4688;height:7;width:583;"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310" o:spid="_x0000_s1026" o:spt="20" style="position:absolute;left:4988;top:5194;height:664;width: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311" o:spid="_x0000_s1026" o:spt="20" style="position:absolute;left:8000;top:5194;height:829;width:1;" filled="f" stroked="t" coordsize="21600,21600" o:gfxdata="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n4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312" o:spid="_x0000_s1026" o:spt="20" style="position:absolute;left:8012;top:7399;height:493;width:1;" filled="f" stroked="t" coordsize="21600,21600" o:gfxdata="UEsDBAoAAAAAAIdO4kAAAAAAAAAAAAAAAAAEAAAAZHJzL1BLAwQUAAAACACHTuJAIhygy7sAAADb&#10;AAAADwAAAGRycy9kb3ducmV2LnhtbEVPy4rCMBTdC/MP4Q6407QK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ygy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313" o:spid="_x0000_s1026" o:spt="20" style="position:absolute;left:8037;top:8903;height:331;width:1;" filled="f" stroked="t" coordsize="21600,21600" o:gfxdata="UEsDBAoAAAAAAIdO4kAAAAAAAAAAAAAAAAAEAAAAZHJzL1BLAwQUAAAACACHTuJATVAFUL4AAADb&#10;AAAADwAAAGRycy9kb3ducmV2LnhtbEWPQWvCQBSE7wX/w/IEb3UTh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AFU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315" o:spid="_x0000_s1026" o:spt="20" style="position:absolute;left:6667;top:5908;flip:y;height:2480;width:0;" filled="f" stroked="t" coordsize="21600,21600" o:gfxdata="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GYkO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316" o:spid="_x0000_s1026" o:spt="20" style="position:absolute;left:4988;top:5582;flip:x;height:1;width:803;" filled="f" stroked="t" coordsize="21600,21600" o:gfxdata="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VGGC/&#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323" o:spid="_x0000_s1026" o:spt="20" style="position:absolute;left:2722;top:2875;flip:x;height:1;width:527;" filled="f" stroked="t" coordsize="21600,21600" o:gfxdata="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vLT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Line 325" o:spid="_x0000_s1026" o:spt="20" style="position:absolute;left:4892;top:9785;height:497;width:1;" filled="f" stroked="t" coordsize="21600,21600" o:gfxdata="UEsDBAoAAAAAAIdO4kAAAAAAAAAAAAAAAAAEAAAAZHJzL1BLAwQUAAAACACHTuJAMmsDU78AAADb&#10;AAAADwAAAGRycy9kb3ducmV2LnhtbEWPT2vCQBTE7wW/w/KE3uomlkq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rA1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id="Group 35" o:spid="_x0000_s1026" o:spt="203" style="position:absolute;left:2579;top:0;height:4162;width:4116;" coordsize="4305,4162"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rect id="Rectangle 282" o:spid="_x0000_s1026" o:spt="1" style="position:absolute;left:1468;top:1577;height:496;width:2207;" fillcolor="#FFFFFF" filled="t" stroked="t" coordsize="21600,21600" o:gfxdata="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HA2oW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rFonts w:hint="eastAsia" w:eastAsia="仿宋_GB2312"/>
                              <w:sz w:val="18"/>
                              <w:szCs w:val="18"/>
                            </w:rPr>
                          </w:pPr>
                          <w:r>
                            <w:rPr>
                              <w:rFonts w:hint="eastAsia" w:ascii="宋体" w:hAnsi="宋体" w:cs="宋体"/>
                              <w:sz w:val="18"/>
                              <w:szCs w:val="18"/>
                            </w:rPr>
                            <w:t>事发单位先期处置</w:t>
                          </w:r>
                        </w:p>
                      </w:txbxContent>
                    </v:textbox>
                  </v:rect>
                  <v:shape id="Oval 283" o:spid="_x0000_s1026" o:spt="3" type="#_x0000_t3" style="position:absolute;left:0;top:3368;height:656;width:1575;" fillcolor="#FFFFFF" filled="t" stroked="t" coordsize="21600,21600" o:gfxdata="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5Prz25AAAA2wAA&#10;AA8AAAAAAAAAAQAgAAAAIgAAAGRycy9kb3ducmV2LnhtbFBLAQIUABQAAAAIAIdO4kAzLwWeOwAA&#10;ADkAAAAQAAAAAAAAAAEAIAAAAAgBAABkcnMvc2hhcGV4bWwueG1sUEsFBgAAAAAGAAYAWwEAALID&#10;AAAAAA==&#10;">
                    <v:fill on="t" focussize="0,0"/>
                    <v:stroke color="#000000" joinstyle="round"/>
                    <v:imagedata o:title=""/>
                    <o:lock v:ext="edit" aspectratio="f"/>
                    <v:textbox>
                      <w:txbxContent>
                        <w:p>
                          <w:pPr>
                            <w:jc w:val="center"/>
                            <w:rPr>
                              <w:rFonts w:hint="eastAsia" w:ascii="宋体" w:hAnsi="宋体" w:cs="宋体"/>
                            </w:rPr>
                          </w:pPr>
                          <w:r>
                            <w:rPr>
                              <w:rFonts w:hint="eastAsia" w:ascii="宋体" w:hAnsi="宋体" w:cs="宋体"/>
                              <w:sz w:val="18"/>
                              <w:szCs w:val="18"/>
                            </w:rPr>
                            <w:t>事故升级</w:t>
                          </w:r>
                        </w:p>
                      </w:txbxContent>
                    </v:textbox>
                  </v:shape>
                  <v:shape id="AutoShape 297" o:spid="_x0000_s1026" o:spt="4" type="#_x0000_t4" style="position:absolute;left:700;top:2405;height:963;width:3605;" fillcolor="#FFFFFF" filled="t" stroked="t" coordsize="21600,21600" o:gfxdata="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vz1C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w:txbxContent>
                        <w:p>
                          <w:pPr>
                            <w:jc w:val="center"/>
                            <w:rPr>
                              <w:rFonts w:hint="eastAsia" w:ascii="宋体" w:hAnsi="宋体" w:cs="宋体"/>
                              <w:sz w:val="18"/>
                              <w:szCs w:val="18"/>
                            </w:rPr>
                          </w:pPr>
                          <w:r>
                            <w:rPr>
                              <w:rFonts w:hint="eastAsia" w:ascii="宋体" w:hAnsi="宋体" w:cs="宋体"/>
                              <w:sz w:val="18"/>
                              <w:szCs w:val="18"/>
                            </w:rPr>
                            <w:t>Ⅰ、Ⅱ、Ⅲ、Ⅳ级</w:t>
                          </w:r>
                        </w:p>
                      </w:txbxContent>
                    </v:textbox>
                  </v:shape>
                  <v:line id="Line 301" o:spid="_x0000_s1026" o:spt="20" style="position:absolute;left:2520;top:1069;height:499;width:1;" filled="f" stroked="t" coordsize="21600,21600" o:gfxdata="UEsDBAoAAAAAAIdO4kAAAAAAAAAAAAAAAAAEAAAAZHJzL1BLAwQUAAAACACHTuJAehrTtrsAAADb&#10;AAAADwAAAGRycy9kb3ducmV2LnhtbEVPy4rCMBTdC/MP4Q6407Qi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rTt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Line 307" o:spid="_x0000_s1026" o:spt="20" style="position:absolute;left:1585;top:3696;height:1;width:920;" filled="f" stroked="t" coordsize="21600,21600" o:gfxdata="UEsDBAoAAAAAAIdO4kAAAAAAAAAAAAAAAAAEAAAAZHJzL1BLAwQUAAAACACHTuJAFVZ2Lb4AAADb&#10;AAAADwAAAGRycy9kb3ducmV2LnhtbEWPQWvCQBSE7wX/w/IEb3UTk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Z2L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321" o:spid="_x0000_s1026" o:spt="20" style="position:absolute;left:2520;top:2073;height:332;width:1;" filled="f" stroked="t" coordsize="21600,21600" o:gfxdata="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E6F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322" o:spid="_x0000_s1026" o:spt="20" style="position:absolute;left:2520;top:3368;height:794;width:1;" filled="f" stroked="t" coordsize="21600,21600" o:gfxdata="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ITc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Oval 281" o:spid="_x0000_s1026" o:spt="3" type="#_x0000_t3" style="position:absolute;left:1468;top:0;height:1069;width:2160;" fillcolor="#FFFFFF" filled="t" stroked="t" coordsize="21600,21600" o:gfxdata="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cE1kW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w:txbxContent>
                        <w:p>
                          <w:pPr>
                            <w:spacing w:after="0" w:line="240" w:lineRule="auto"/>
                            <w:jc w:val="center"/>
                            <w:rPr>
                              <w:rFonts w:hint="eastAsia" w:ascii="宋体" w:hAnsi="宋体" w:cs="宋体"/>
                              <w:sz w:val="18"/>
                              <w:szCs w:val="18"/>
                            </w:rPr>
                          </w:pPr>
                          <w:r>
                            <w:rPr>
                              <w:rFonts w:hint="eastAsia" w:ascii="宋体" w:hAnsi="宋体" w:cs="宋体"/>
                              <w:sz w:val="18"/>
                              <w:szCs w:val="18"/>
                            </w:rPr>
                            <w:t>危险化学品生产安全事故</w:t>
                          </w:r>
                        </w:p>
                      </w:txbxContent>
                    </v:textbox>
                  </v:shape>
                </v:group>
                <v:rect id="Rectangle 288" o:spid="_x0000_s1026" o:spt="1" style="position:absolute;left:716;top:8135;height:496;width:1758;" fillcolor="#FFFFFF" filled="t" stroked="t" coordsize="21600,21600" o:gfxdata="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WJIU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rPr>
                            <w:rFonts w:hint="eastAsia" w:ascii="宋体" w:hAnsi="宋体" w:cs="宋体"/>
                            <w:sz w:val="18"/>
                            <w:szCs w:val="18"/>
                          </w:rPr>
                        </w:pPr>
                        <w:r>
                          <w:rPr>
                            <w:rFonts w:hint="eastAsia" w:ascii="宋体" w:hAnsi="宋体" w:cs="宋体"/>
                            <w:sz w:val="18"/>
                            <w:szCs w:val="18"/>
                          </w:rPr>
                          <w:t>应急结束</w:t>
                        </w:r>
                      </w:p>
                    </w:txbxContent>
                  </v:textbox>
                </v:rect>
              </v:group>
            </w:pict>
          </mc:Fallback>
        </mc:AlternateContent>
      </w:r>
    </w:p>
    <w:p>
      <w:pPr>
        <w:widowControl w:val="0"/>
        <w:rPr>
          <w:rFonts w:hint="eastAsia" w:ascii="宋体" w:hAnsi="宋体" w:cs="宋体"/>
          <w:sz w:val="28"/>
          <w:szCs w:val="28"/>
        </w:rPr>
      </w:pPr>
    </w:p>
    <w:p>
      <w:pPr>
        <w:widowControl w:val="0"/>
        <w:rPr>
          <w:rFonts w:ascii="宋体" w:hAnsi="宋体"/>
          <w:sz w:val="28"/>
          <w:szCs w:val="28"/>
        </w:rPr>
      </w:pPr>
    </w:p>
    <w:p>
      <w:pPr>
        <w:widowControl w:val="0"/>
        <w:rPr>
          <w:rFonts w:ascii="宋体" w:hAnsi="宋体"/>
          <w:sz w:val="28"/>
          <w:szCs w:val="28"/>
        </w:rPr>
      </w:pPr>
    </w:p>
    <w:p>
      <w:pPr>
        <w:widowControl w:val="0"/>
        <w:rPr>
          <w:rFonts w:ascii="宋体" w:hAnsi="宋体"/>
          <w:sz w:val="28"/>
          <w:szCs w:val="28"/>
        </w:rPr>
      </w:pPr>
    </w:p>
    <w:p>
      <w:pPr>
        <w:widowControl w:val="0"/>
        <w:rPr>
          <w:rFonts w:ascii="宋体" w:hAnsi="宋体"/>
          <w:sz w:val="28"/>
          <w:szCs w:val="28"/>
        </w:rPr>
      </w:pPr>
    </w:p>
    <w:p>
      <w:pPr>
        <w:widowControl w:val="0"/>
        <w:rPr>
          <w:rFonts w:ascii="宋体" w:hAnsi="宋体"/>
          <w:sz w:val="28"/>
          <w:szCs w:val="28"/>
        </w:rPr>
      </w:pPr>
    </w:p>
    <w:p>
      <w:pPr>
        <w:widowControl w:val="0"/>
        <w:jc w:val="center"/>
        <w:rPr>
          <w:rFonts w:hint="eastAsia" w:ascii="宋体" w:hAnsi="宋体" w:cs="宋体"/>
          <w:sz w:val="28"/>
          <w:szCs w:val="28"/>
        </w:rPr>
      </w:pPr>
    </w:p>
    <w:p>
      <w:pPr>
        <w:pStyle w:val="4"/>
        <w:rPr>
          <w:rFonts w:hint="eastAsia" w:ascii="黑体" w:hAnsi="黑体" w:eastAsia="黑体" w:cs="黑体"/>
          <w:kern w:val="2"/>
          <w:sz w:val="32"/>
          <w:szCs w:val="32"/>
          <w:lang w:val="en-US"/>
        </w:rPr>
      </w:pPr>
      <w:r>
        <w:rPr>
          <w:kern w:val="2"/>
          <w:shd w:val="clear" w:color="auto" w:fill="FFFFFF"/>
        </w:rPr>
        <w:br w:type="page"/>
      </w:r>
      <w:bookmarkStart w:id="304" w:name="_Toc16071"/>
      <w:r>
        <w:rPr>
          <w:rFonts w:hint="eastAsia" w:ascii="黑体" w:hAnsi="黑体" w:eastAsia="黑体" w:cs="黑体"/>
          <w:b w:val="0"/>
          <w:bCs/>
          <w:kern w:val="2"/>
          <w:sz w:val="32"/>
          <w:szCs w:val="24"/>
          <w:lang w:val="en-US" w:eastAsia="zh-CN"/>
        </w:rPr>
        <w:t>10.5 应急救援工作联系电话</w:t>
      </w:r>
      <w:bookmarkEnd w:id="304"/>
    </w:p>
    <w:p>
      <w:pPr>
        <w:pStyle w:val="24"/>
        <w:keepNext w:val="0"/>
        <w:keepLines w:val="0"/>
        <w:pageBreakBefore w:val="0"/>
        <w:widowControl/>
        <w:kinsoku/>
        <w:wordWrap/>
        <w:overflowPunct/>
        <w:topLinePunct w:val="0"/>
        <w:autoSpaceDE/>
        <w:autoSpaceDN/>
        <w:bidi w:val="0"/>
        <w:adjustRightInd w:val="0"/>
        <w:snapToGrid/>
        <w:spacing w:after="0" w:line="560" w:lineRule="exact"/>
        <w:ind w:firstLine="560"/>
        <w:contextualSpacing/>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区安委办值班电话（0763）3939075，危险化学品登记中心国家化学事故应急咨询电话0532-83889090(青岛)，其他相关联系电话</w:t>
      </w:r>
      <w:r>
        <w:rPr>
          <w:rFonts w:hint="eastAsia" w:ascii="仿宋_GB2312" w:hAnsi="仿宋_GB2312" w:eastAsia="仿宋_GB2312" w:cs="仿宋_GB2312"/>
          <w:sz w:val="32"/>
          <w:szCs w:val="32"/>
          <w:lang w:val="en-US" w:eastAsia="zh-CN"/>
        </w:rPr>
        <w:t>见表10.5。</w:t>
      </w:r>
    </w:p>
    <w:p>
      <w:pPr>
        <w:pStyle w:val="24"/>
        <w:adjustRightInd w:val="0"/>
        <w:spacing w:line="480" w:lineRule="exact"/>
        <w:ind w:left="0" w:leftChars="0" w:firstLine="0" w:firstLineChars="0"/>
        <w:contextualSpacing/>
        <w:jc w:val="center"/>
        <w:rPr>
          <w:rFonts w:hint="eastAsia" w:ascii="仿宋_GB2312" w:hAnsi="仿宋_GB2312" w:eastAsia="仿宋_GB2312" w:cs="仿宋_GB2312"/>
          <w:kern w:val="2"/>
          <w:sz w:val="28"/>
          <w:szCs w:val="28"/>
          <w:lang w:val="en-US"/>
        </w:rPr>
      </w:pPr>
      <w:r>
        <w:rPr>
          <w:rFonts w:hint="eastAsia" w:ascii="仿宋_GB2312" w:hAnsi="仿宋_GB2312" w:eastAsia="仿宋_GB2312" w:cs="仿宋_GB2312"/>
          <w:kern w:val="2"/>
          <w:sz w:val="28"/>
          <w:szCs w:val="28"/>
          <w:lang w:val="en-US" w:eastAsia="zh-CN"/>
        </w:rPr>
        <w:t xml:space="preserve">表10.5  </w:t>
      </w:r>
      <w:r>
        <w:rPr>
          <w:rFonts w:hint="eastAsia" w:ascii="仿宋_GB2312" w:hAnsi="仿宋_GB2312" w:eastAsia="仿宋_GB2312" w:cs="仿宋_GB2312"/>
          <w:kern w:val="2"/>
          <w:sz w:val="28"/>
          <w:szCs w:val="28"/>
          <w:lang w:val="en-US"/>
        </w:rPr>
        <w:t>清城区危险化学品事故应急联系电话</w:t>
      </w:r>
    </w:p>
    <w:tbl>
      <w:tblPr>
        <w:tblStyle w:val="12"/>
        <w:tblW w:w="0" w:type="auto"/>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1271"/>
        <w:gridCol w:w="2234"/>
        <w:gridCol w:w="2033"/>
        <w:gridCol w:w="1917"/>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81"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b/>
                <w:bCs/>
                <w:sz w:val="21"/>
                <w:szCs w:val="21"/>
                <w:lang w:val="en-US"/>
              </w:rPr>
            </w:pPr>
            <w:r>
              <w:rPr>
                <w:rFonts w:hint="eastAsia" w:ascii="仿宋_GB2312" w:hAnsi="仿宋_GB2312" w:eastAsia="仿宋_GB2312" w:cs="仿宋_GB2312"/>
                <w:b/>
                <w:bCs/>
                <w:sz w:val="21"/>
                <w:szCs w:val="21"/>
                <w:lang w:val="en-US"/>
              </w:rPr>
              <w:t>序号</w:t>
            </w:r>
          </w:p>
        </w:tc>
        <w:tc>
          <w:tcPr>
            <w:tcW w:w="2234" w:type="dxa"/>
            <w:vAlign w:val="center"/>
          </w:tcPr>
          <w:p>
            <w:pPr>
              <w:widowControl w:val="0"/>
              <w:spacing w:after="0" w:line="240" w:lineRule="auto"/>
              <w:jc w:val="center"/>
              <w:rPr>
                <w:rFonts w:hint="eastAsia" w:ascii="仿宋_GB2312" w:hAnsi="仿宋_GB2312" w:eastAsia="仿宋_GB2312" w:cs="仿宋_GB2312"/>
                <w:b/>
                <w:bCs/>
                <w:sz w:val="21"/>
                <w:szCs w:val="21"/>
                <w:lang w:val="en-US"/>
              </w:rPr>
            </w:pPr>
            <w:r>
              <w:rPr>
                <w:rFonts w:hint="eastAsia" w:ascii="仿宋_GB2312" w:hAnsi="仿宋_GB2312" w:eastAsia="仿宋_GB2312" w:cs="仿宋_GB2312"/>
                <w:b/>
                <w:bCs/>
                <w:sz w:val="21"/>
                <w:szCs w:val="21"/>
                <w:lang w:val="en-US"/>
              </w:rPr>
              <w:t>地区</w:t>
            </w:r>
          </w:p>
        </w:tc>
        <w:tc>
          <w:tcPr>
            <w:tcW w:w="2033" w:type="dxa"/>
            <w:vAlign w:val="center"/>
          </w:tcPr>
          <w:p>
            <w:pPr>
              <w:widowControl w:val="0"/>
              <w:spacing w:after="0" w:line="240" w:lineRule="auto"/>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lang w:val="en-US"/>
              </w:rPr>
              <w:t>值班</w:t>
            </w:r>
            <w:r>
              <w:rPr>
                <w:rFonts w:hint="eastAsia" w:ascii="仿宋_GB2312" w:hAnsi="仿宋_GB2312" w:eastAsia="仿宋_GB2312" w:cs="仿宋_GB2312"/>
                <w:b/>
                <w:bCs/>
                <w:sz w:val="21"/>
                <w:szCs w:val="21"/>
              </w:rPr>
              <w:t>电话</w:t>
            </w:r>
          </w:p>
        </w:tc>
        <w:tc>
          <w:tcPr>
            <w:tcW w:w="1917" w:type="dxa"/>
            <w:vAlign w:val="center"/>
          </w:tcPr>
          <w:p>
            <w:pPr>
              <w:widowControl w:val="0"/>
              <w:spacing w:after="0" w:line="240" w:lineRule="auto"/>
              <w:jc w:val="center"/>
              <w:rPr>
                <w:rFonts w:hint="eastAsia" w:ascii="仿宋_GB2312" w:hAnsi="仿宋_GB2312" w:eastAsia="仿宋_GB2312" w:cs="仿宋_GB2312"/>
                <w:b/>
                <w:bCs/>
                <w:sz w:val="21"/>
                <w:szCs w:val="21"/>
                <w:lang w:val="en-US"/>
              </w:rPr>
            </w:pPr>
            <w:r>
              <w:rPr>
                <w:rFonts w:hint="eastAsia" w:ascii="仿宋_GB2312" w:hAnsi="仿宋_GB2312" w:eastAsia="仿宋_GB2312" w:cs="仿宋_GB2312"/>
                <w:b/>
                <w:bCs/>
                <w:sz w:val="21"/>
                <w:szCs w:val="21"/>
                <w:lang w:val="en-US"/>
              </w:rPr>
              <w:t>传真</w:t>
            </w:r>
            <w:r>
              <w:rPr>
                <w:rFonts w:hint="eastAsia" w:ascii="仿宋_GB2312" w:hAnsi="仿宋_GB2312" w:eastAsia="仿宋_GB2312" w:cs="仿宋_GB2312"/>
                <w:b/>
                <w:bCs/>
                <w:sz w:val="21"/>
                <w:szCs w:val="21"/>
                <w:lang w:val="en-US" w:eastAsia="zh-CN"/>
              </w:rPr>
              <w:t>（</w:t>
            </w:r>
            <w:r>
              <w:rPr>
                <w:rFonts w:hint="eastAsia" w:ascii="仿宋_GB2312" w:hAnsi="仿宋_GB2312" w:eastAsia="仿宋_GB2312" w:cs="仿宋_GB2312"/>
                <w:b/>
                <w:bCs/>
                <w:sz w:val="21"/>
                <w:szCs w:val="21"/>
                <w:lang w:val="en-US"/>
              </w:rPr>
              <w:t>电话</w:t>
            </w:r>
            <w:r>
              <w:rPr>
                <w:rFonts w:hint="eastAsia" w:ascii="仿宋_GB2312" w:hAnsi="仿宋_GB2312" w:eastAsia="仿宋_GB2312" w:cs="仿宋_GB2312"/>
                <w:b/>
                <w:bCs/>
                <w:sz w:val="21"/>
                <w:szCs w:val="21"/>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82"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1</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清城区</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3939075</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3939107</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04"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2</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洲心街道</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3502156</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3504060</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559"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横荷街道</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3362742</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3362742</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738"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4</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凤城街道</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3322716</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3322716</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53"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5</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东城街道</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3923025</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3920175</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715"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6</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龙塘镇</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3600005</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3605801</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54"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7</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源潭镇</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3243210</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3243210</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37"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8</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石角镇</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3207077</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3207132</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64" w:hRule="atLeast"/>
          <w:jc w:val="center"/>
        </w:trPr>
        <w:tc>
          <w:tcPr>
            <w:tcW w:w="1271"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9</w:t>
            </w:r>
          </w:p>
        </w:tc>
        <w:tc>
          <w:tcPr>
            <w:tcW w:w="2234"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飞来峡镇</w:t>
            </w:r>
          </w:p>
        </w:tc>
        <w:tc>
          <w:tcPr>
            <w:tcW w:w="2033"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3840896</w:t>
            </w:r>
          </w:p>
        </w:tc>
        <w:tc>
          <w:tcPr>
            <w:tcW w:w="1917" w:type="dxa"/>
            <w:vAlign w:val="center"/>
          </w:tcPr>
          <w:p>
            <w:pPr>
              <w:widowControl w:val="0"/>
              <w:spacing w:after="0" w:line="240"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3840884</w:t>
            </w:r>
          </w:p>
        </w:tc>
      </w:tr>
    </w:tbl>
    <w:p>
      <w:pPr>
        <w:pStyle w:val="4"/>
        <w:rPr>
          <w:rFonts w:hint="eastAsia" w:ascii="黑体" w:hAnsi="黑体" w:eastAsia="黑体" w:cs="黑体"/>
          <w:bCs w:val="0"/>
          <w:kern w:val="2"/>
          <w:sz w:val="32"/>
          <w:szCs w:val="24"/>
          <w:lang w:val="en-US" w:eastAsia="zh-CN"/>
        </w:rPr>
      </w:pPr>
      <w:bookmarkStart w:id="305" w:name="_Toc12383"/>
    </w:p>
    <w:p>
      <w:pPr>
        <w:pStyle w:val="4"/>
        <w:rPr>
          <w:rFonts w:hint="eastAsia" w:ascii="黑体" w:hAnsi="黑体" w:eastAsia="黑体" w:cs="黑体"/>
          <w:b w:val="0"/>
          <w:bCs/>
          <w:kern w:val="2"/>
          <w:sz w:val="32"/>
          <w:szCs w:val="24"/>
          <w:lang w:val="en-US" w:eastAsia="zh-CN"/>
        </w:rPr>
      </w:pPr>
      <w:r>
        <w:rPr>
          <w:rFonts w:hint="eastAsia" w:ascii="黑体" w:hAnsi="黑体" w:eastAsia="黑体" w:cs="黑体"/>
          <w:b w:val="0"/>
          <w:bCs/>
          <w:kern w:val="2"/>
          <w:sz w:val="32"/>
          <w:szCs w:val="24"/>
          <w:lang w:val="en-US" w:eastAsia="zh-CN"/>
        </w:rPr>
        <w:t>10.6 清城区危险化学品事故应急救援专家信息</w:t>
      </w:r>
      <w:bookmarkEnd w:id="305"/>
    </w:p>
    <w:p>
      <w:pPr>
        <w:keepNext w:val="0"/>
        <w:keepLines w:val="0"/>
        <w:pageBreakBefore w:val="0"/>
        <w:widowControl/>
        <w:kinsoku/>
        <w:wordWrap/>
        <w:overflowPunct/>
        <w:topLinePunct w:val="0"/>
        <w:autoSpaceDE/>
        <w:autoSpaceDN/>
        <w:bidi w:val="0"/>
        <w:adjustRightInd w:val="0"/>
        <w:snapToGrid/>
        <w:spacing w:after="0" w:line="560" w:lineRule="exact"/>
        <w:ind w:firstLine="640" w:firstLineChars="200"/>
        <w:contextualSpacing/>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依托清远市危险化学品事故应急救援指挥部危险化学品领域专家组，由消防、危险化学品、机械电气、应急处置、建筑工程、环境保护、医疗救护等专业专家组成。具体名单如</w:t>
      </w:r>
      <w:r>
        <w:rPr>
          <w:rFonts w:hint="eastAsia" w:ascii="仿宋_GB2312" w:hAnsi="仿宋_GB2312" w:eastAsia="仿宋_GB2312" w:cs="仿宋_GB2312"/>
          <w:sz w:val="32"/>
          <w:szCs w:val="32"/>
          <w:lang w:eastAsia="zh-CN"/>
        </w:rPr>
        <w:t>表</w:t>
      </w:r>
      <w:r>
        <w:rPr>
          <w:rFonts w:hint="eastAsia" w:ascii="仿宋_GB2312" w:hAnsi="仿宋_GB2312" w:eastAsia="仿宋_GB2312" w:cs="仿宋_GB2312"/>
          <w:sz w:val="32"/>
          <w:szCs w:val="32"/>
          <w:lang w:val="en-US" w:eastAsia="zh-CN"/>
        </w:rPr>
        <w:t>10.6。</w:t>
      </w:r>
    </w:p>
    <w:p>
      <w:pPr>
        <w:pStyle w:val="2"/>
        <w:rPr>
          <w:rFonts w:hint="eastAsia"/>
          <w:lang w:val="en-US" w:eastAsia="zh-CN"/>
        </w:rPr>
      </w:pPr>
    </w:p>
    <w:p>
      <w:pPr>
        <w:pStyle w:val="2"/>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表10.6   </w:t>
      </w:r>
      <w:r>
        <w:rPr>
          <w:rFonts w:hint="eastAsia" w:ascii="黑体" w:hAnsi="黑体" w:eastAsia="黑体" w:cs="黑体"/>
          <w:bCs w:val="0"/>
          <w:kern w:val="2"/>
          <w:sz w:val="32"/>
          <w:szCs w:val="24"/>
          <w:lang w:val="en-US" w:eastAsia="zh-CN"/>
        </w:rPr>
        <w:t>清城区危险化学品事故应急救援专家</w:t>
      </w:r>
    </w:p>
    <w:tbl>
      <w:tblPr>
        <w:tblStyle w:val="12"/>
        <w:tblW w:w="0" w:type="auto"/>
        <w:jc w:val="center"/>
        <w:tblLayout w:type="fixed"/>
        <w:tblCellMar>
          <w:top w:w="0" w:type="dxa"/>
          <w:left w:w="0" w:type="dxa"/>
          <w:bottom w:w="0" w:type="dxa"/>
          <w:right w:w="0" w:type="dxa"/>
        </w:tblCellMar>
      </w:tblPr>
      <w:tblGrid>
        <w:gridCol w:w="1209"/>
        <w:gridCol w:w="2516"/>
        <w:gridCol w:w="2417"/>
        <w:gridCol w:w="2117"/>
      </w:tblGrid>
      <w:tr>
        <w:tblPrEx>
          <w:tblCellMar>
            <w:top w:w="0" w:type="dxa"/>
            <w:left w:w="0" w:type="dxa"/>
            <w:bottom w:w="0" w:type="dxa"/>
            <w:right w:w="0" w:type="dxa"/>
          </w:tblCellMar>
        </w:tblPrEx>
        <w:trPr>
          <w:trHeight w:val="569"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ind w:left="-55" w:leftChars="-23" w:right="-43" w:rightChars="-18"/>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专家姓名</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ind w:left="-55" w:leftChars="-23" w:right="-43" w:rightChars="-18"/>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职称</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ind w:left="-55" w:leftChars="-23" w:right="-43" w:rightChars="-18"/>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联系电话</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ind w:left="-55" w:leftChars="-23" w:right="-43" w:rightChars="-18"/>
              <w:jc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专业</w:t>
            </w:r>
          </w:p>
        </w:tc>
      </w:tr>
      <w:tr>
        <w:tblPrEx>
          <w:tblCellMar>
            <w:top w:w="0" w:type="dxa"/>
            <w:left w:w="0" w:type="dxa"/>
            <w:bottom w:w="0" w:type="dxa"/>
            <w:right w:w="0" w:type="dxa"/>
          </w:tblCellMar>
        </w:tblPrEx>
        <w:trPr>
          <w:trHeight w:val="657"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梁岑峰</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注册安全工程师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13570218176</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应用化学</w:t>
            </w:r>
          </w:p>
        </w:tc>
      </w:tr>
      <w:tr>
        <w:tblPrEx>
          <w:tblCellMar>
            <w:top w:w="0" w:type="dxa"/>
            <w:left w:w="0" w:type="dxa"/>
            <w:bottom w:w="0" w:type="dxa"/>
            <w:right w:w="0" w:type="dxa"/>
          </w:tblCellMar>
        </w:tblPrEx>
        <w:trPr>
          <w:trHeight w:val="608"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李政</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高工</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13809289488</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高分子化工</w:t>
            </w:r>
          </w:p>
        </w:tc>
      </w:tr>
      <w:tr>
        <w:tblPrEx>
          <w:tblCellMar>
            <w:top w:w="0" w:type="dxa"/>
            <w:left w:w="0" w:type="dxa"/>
            <w:bottom w:w="0" w:type="dxa"/>
            <w:right w:w="0" w:type="dxa"/>
          </w:tblCellMar>
        </w:tblPrEx>
        <w:trPr>
          <w:trHeight w:val="657"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王磊</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注册安全工程师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18127259740</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化学工程与工艺</w:t>
            </w:r>
          </w:p>
        </w:tc>
      </w:tr>
      <w:tr>
        <w:tblPrEx>
          <w:tblCellMar>
            <w:top w:w="0" w:type="dxa"/>
            <w:left w:w="0" w:type="dxa"/>
            <w:bottom w:w="0" w:type="dxa"/>
            <w:right w:w="0" w:type="dxa"/>
          </w:tblCellMar>
        </w:tblPrEx>
        <w:trPr>
          <w:trHeight w:val="641"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张衡丰</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高工</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13711102659</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无机化学工程</w:t>
            </w:r>
          </w:p>
        </w:tc>
      </w:tr>
      <w:tr>
        <w:tblPrEx>
          <w:tblCellMar>
            <w:top w:w="0" w:type="dxa"/>
            <w:left w:w="0" w:type="dxa"/>
            <w:bottom w:w="0" w:type="dxa"/>
            <w:right w:w="0" w:type="dxa"/>
          </w:tblCellMar>
        </w:tblPrEx>
        <w:trPr>
          <w:trHeight w:val="674"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伍玉仪</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高级工程师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13711580562</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化学教育</w:t>
            </w:r>
          </w:p>
        </w:tc>
      </w:tr>
      <w:tr>
        <w:tblPrEx>
          <w:tblCellMar>
            <w:top w:w="0" w:type="dxa"/>
            <w:left w:w="0" w:type="dxa"/>
            <w:bottom w:w="0" w:type="dxa"/>
            <w:right w:w="0" w:type="dxa"/>
          </w:tblCellMar>
        </w:tblPrEx>
        <w:trPr>
          <w:trHeight w:val="658"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刘发全</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注册安全工程师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13763360719</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分析化学</w:t>
            </w:r>
          </w:p>
        </w:tc>
      </w:tr>
      <w:tr>
        <w:tblPrEx>
          <w:tblCellMar>
            <w:top w:w="0" w:type="dxa"/>
            <w:left w:w="0" w:type="dxa"/>
            <w:bottom w:w="0" w:type="dxa"/>
            <w:right w:w="0" w:type="dxa"/>
          </w:tblCellMar>
        </w:tblPrEx>
        <w:trPr>
          <w:trHeight w:val="691"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彭登奎</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高级工程师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15975510325</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安全工程</w:t>
            </w:r>
          </w:p>
        </w:tc>
      </w:tr>
      <w:tr>
        <w:tblPrEx>
          <w:tblCellMar>
            <w:top w:w="0" w:type="dxa"/>
            <w:left w:w="0" w:type="dxa"/>
            <w:bottom w:w="0" w:type="dxa"/>
            <w:right w:w="0" w:type="dxa"/>
          </w:tblCellMar>
        </w:tblPrEx>
        <w:trPr>
          <w:trHeight w:val="691"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舒晗</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13430286873</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安全工程</w:t>
            </w:r>
          </w:p>
        </w:tc>
      </w:tr>
      <w:tr>
        <w:tblPrEx>
          <w:tblCellMar>
            <w:top w:w="0" w:type="dxa"/>
            <w:left w:w="0" w:type="dxa"/>
            <w:bottom w:w="0" w:type="dxa"/>
            <w:right w:w="0" w:type="dxa"/>
          </w:tblCellMar>
        </w:tblPrEx>
        <w:trPr>
          <w:trHeight w:val="674"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任计恩</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高级工程师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13927628366</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无机化学工程</w:t>
            </w:r>
          </w:p>
        </w:tc>
      </w:tr>
      <w:tr>
        <w:tblPrEx>
          <w:tblCellMar>
            <w:top w:w="0" w:type="dxa"/>
            <w:left w:w="0" w:type="dxa"/>
            <w:bottom w:w="0" w:type="dxa"/>
            <w:right w:w="0" w:type="dxa"/>
          </w:tblCellMar>
        </w:tblPrEx>
        <w:trPr>
          <w:trHeight w:val="679" w:hRule="atLeast"/>
          <w:jc w:val="center"/>
        </w:trPr>
        <w:tc>
          <w:tcPr>
            <w:tcW w:w="120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杜敏</w:t>
            </w:r>
          </w:p>
        </w:tc>
        <w:tc>
          <w:tcPr>
            <w:tcW w:w="2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工程师</w:t>
            </w:r>
          </w:p>
        </w:tc>
        <w:tc>
          <w:tcPr>
            <w:tcW w:w="24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18565066268</w:t>
            </w:r>
          </w:p>
        </w:tc>
        <w:tc>
          <w:tcPr>
            <w:tcW w:w="211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00" w:lineRule="atLeas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精细化工</w:t>
            </w:r>
          </w:p>
        </w:tc>
      </w:tr>
    </w:tbl>
    <w:p>
      <w:pPr>
        <w:ind w:firstLine="560" w:firstLineChars="200"/>
        <w:rPr>
          <w:rFonts w:hint="eastAsia" w:cs="Arial"/>
          <w:sz w:val="28"/>
          <w:szCs w:val="28"/>
          <w:lang w:val="en-US"/>
        </w:rPr>
      </w:pPr>
    </w:p>
    <w:p>
      <w:pPr>
        <w:ind w:firstLine="560" w:firstLineChars="200"/>
        <w:rPr>
          <w:rFonts w:hint="eastAsia" w:cs="Arial"/>
          <w:sz w:val="28"/>
          <w:szCs w:val="28"/>
          <w:lang w:val="en-US"/>
        </w:rPr>
      </w:pPr>
    </w:p>
    <w:p>
      <w:pPr>
        <w:ind w:firstLine="560" w:firstLineChars="200"/>
        <w:rPr>
          <w:rFonts w:hint="eastAsia" w:cs="Arial"/>
          <w:sz w:val="28"/>
          <w:szCs w:val="28"/>
          <w:lang w:val="en-US"/>
        </w:rPr>
        <w:sectPr>
          <w:pgSz w:w="11906" w:h="16838"/>
          <w:pgMar w:top="1440" w:right="1800" w:bottom="1440" w:left="1800" w:header="851" w:footer="992" w:gutter="0"/>
          <w:pgNumType w:fmt="numberInDash"/>
          <w:cols w:space="720" w:num="1"/>
          <w:docGrid w:type="lines" w:linePitch="312" w:charSpace="0"/>
        </w:sectPr>
      </w:pPr>
    </w:p>
    <w:p>
      <w:pPr>
        <w:pStyle w:val="4"/>
        <w:jc w:val="center"/>
        <w:rPr>
          <w:rFonts w:hint="eastAsia" w:ascii="黑体" w:hAnsi="黑体" w:eastAsia="黑体" w:cs="黑体"/>
          <w:b w:val="0"/>
          <w:bCs/>
          <w:kern w:val="2"/>
          <w:sz w:val="32"/>
          <w:szCs w:val="24"/>
          <w:lang w:val="en-US" w:eastAsia="zh-CN"/>
        </w:rPr>
      </w:pPr>
      <w:bookmarkStart w:id="306" w:name="_Toc19401"/>
      <w:r>
        <w:rPr>
          <w:rFonts w:hint="eastAsia" w:ascii="黑体" w:hAnsi="黑体" w:eastAsia="黑体" w:cs="黑体"/>
          <w:b w:val="0"/>
          <w:bCs/>
          <w:kern w:val="2"/>
          <w:sz w:val="32"/>
          <w:szCs w:val="24"/>
          <w:lang w:val="en-US" w:eastAsia="zh-CN"/>
        </w:rPr>
        <w:t>10.7 清城区危险化学品生产企业基本情况一览表</w:t>
      </w:r>
      <w:bookmarkEnd w:id="306"/>
    </w:p>
    <w:tbl>
      <w:tblPr>
        <w:tblStyle w:val="12"/>
        <w:tblW w:w="14041"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0" w:type="dxa"/>
          <w:bottom w:w="0" w:type="dxa"/>
          <w:right w:w="0" w:type="dxa"/>
        </w:tblCellMar>
      </w:tblPr>
      <w:tblGrid>
        <w:gridCol w:w="729"/>
        <w:gridCol w:w="1559"/>
        <w:gridCol w:w="2127"/>
        <w:gridCol w:w="4270"/>
        <w:gridCol w:w="945"/>
        <w:gridCol w:w="889"/>
        <w:gridCol w:w="1021"/>
        <w:gridCol w:w="1476"/>
        <w:gridCol w:w="1025"/>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tblHeader/>
          <w:jc w:val="center"/>
        </w:trPr>
        <w:tc>
          <w:tcPr>
            <w:tcW w:w="72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序号</w:t>
            </w:r>
          </w:p>
        </w:tc>
        <w:tc>
          <w:tcPr>
            <w:tcW w:w="155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企业名称</w:t>
            </w:r>
          </w:p>
        </w:tc>
        <w:tc>
          <w:tcPr>
            <w:tcW w:w="2127"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地址</w:t>
            </w:r>
          </w:p>
        </w:tc>
        <w:tc>
          <w:tcPr>
            <w:tcW w:w="4270"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许可产品及产量</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所属</w:t>
            </w:r>
          </w:p>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行业</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是否构成重大危险源</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涉及的危险化工工艺</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lang w:val="en-US" w:bidi="ar"/>
              </w:rPr>
              <w:t>涉及的重点监管危险化学品</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涉及特别管控危险化学品</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eastAsia="zh-CN" w:bidi="ar"/>
              </w:rPr>
              <w:t>1</w:t>
            </w:r>
          </w:p>
        </w:tc>
        <w:tc>
          <w:tcPr>
            <w:tcW w:w="1559"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清远市美佳乐环保新材股份有限公司</w:t>
            </w:r>
          </w:p>
        </w:tc>
        <w:tc>
          <w:tcPr>
            <w:tcW w:w="2127"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清远市清城区龙塘镇银盏管理区泰基工业城内</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含易燃溶剂的合成树脂、油漆、辅助材料、涂料等制品[闭杯闪点≤60℃]（2828，处理剂19000t/a)***</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甲苯二异氰酸酯</w:t>
            </w:r>
            <w:r>
              <w:rPr>
                <w:rFonts w:hint="eastAsia" w:ascii="仿宋_GB2312" w:hAnsi="仿宋_GB2312" w:eastAsia="仿宋_GB2312" w:cs="仿宋_GB2312"/>
                <w:sz w:val="21"/>
                <w:szCs w:val="21"/>
                <w:lang w:bidi="ar"/>
              </w:rPr>
              <w:t>(200t)</w:t>
            </w:r>
            <w:r>
              <w:rPr>
                <w:rFonts w:hint="eastAsia" w:ascii="仿宋_GB2312" w:hAnsi="仿宋_GB2312" w:eastAsia="仿宋_GB2312" w:cs="仿宋_GB2312"/>
                <w:sz w:val="21"/>
                <w:szCs w:val="21"/>
                <w:lang w:val="en-US" w:bidi="ar"/>
              </w:rPr>
              <w:t>、甲苯</w:t>
            </w:r>
            <w:r>
              <w:rPr>
                <w:rFonts w:hint="eastAsia" w:ascii="仿宋_GB2312" w:hAnsi="仿宋_GB2312" w:eastAsia="仿宋_GB2312" w:cs="仿宋_GB2312"/>
                <w:sz w:val="21"/>
                <w:szCs w:val="21"/>
                <w:lang w:bidi="ar"/>
              </w:rPr>
              <w:t>(50t)</w:t>
            </w:r>
            <w:r>
              <w:rPr>
                <w:rFonts w:hint="eastAsia" w:ascii="仿宋_GB2312" w:hAnsi="仿宋_GB2312" w:eastAsia="仿宋_GB2312" w:cs="仿宋_GB2312"/>
                <w:sz w:val="21"/>
                <w:szCs w:val="21"/>
                <w:lang w:val="en-US" w:bidi="ar"/>
              </w:rPr>
              <w:t>、乙酸乙酯</w:t>
            </w:r>
            <w:r>
              <w:rPr>
                <w:rFonts w:hint="eastAsia" w:ascii="仿宋_GB2312" w:hAnsi="仿宋_GB2312" w:eastAsia="仿宋_GB2312" w:cs="仿宋_GB2312"/>
                <w:sz w:val="21"/>
                <w:szCs w:val="21"/>
                <w:lang w:bidi="ar"/>
              </w:rPr>
              <w:t>(15t)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eastAsia="zh-CN" w:bidi="ar"/>
              </w:rPr>
              <w:t>2</w:t>
            </w:r>
          </w:p>
        </w:tc>
        <w:tc>
          <w:tcPr>
            <w:tcW w:w="1559"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清远市金丰彩油墨有限公司</w:t>
            </w:r>
          </w:p>
        </w:tc>
        <w:tc>
          <w:tcPr>
            <w:tcW w:w="2127"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清远市龙塘镇泰基工业区</w:t>
            </w:r>
          </w:p>
        </w:tc>
        <w:tc>
          <w:tcPr>
            <w:tcW w:w="4270"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含易燃溶剂的合成树脂、油漆、辅助材料、涂料等制品[闭杯闪点≤60℃]（2828，塑料薄膜油墨250t/a、醇溶凹印油墨250t/a）（生产场所与注册地址一致）***</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乙酸乙酯(0.5t)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eastAsia="zh-CN" w:bidi="ar"/>
              </w:rPr>
              <w:t>3</w:t>
            </w:r>
          </w:p>
        </w:tc>
        <w:tc>
          <w:tcPr>
            <w:tcW w:w="1559"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清远市长江银龙涂料有限公司</w:t>
            </w:r>
          </w:p>
        </w:tc>
        <w:tc>
          <w:tcPr>
            <w:tcW w:w="2127"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清远市龙塘镇陂坑华电工业小区内（地号：G1100543-1)</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含易燃溶剂的合成树脂、油漆、辅助材料、涂料等制品[闭杯闪点≤60℃]（2828，丙烯酸清漆（120t/a)、丙烯酸稀释剂（150t/a)）***</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甲苯（3t）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4</w:t>
            </w:r>
          </w:p>
        </w:tc>
        <w:tc>
          <w:tcPr>
            <w:tcW w:w="1559"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清远雅克化工有限公司</w:t>
            </w:r>
          </w:p>
        </w:tc>
        <w:tc>
          <w:tcPr>
            <w:tcW w:w="2127"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清远市高新区银盏工业园嘉福工业区A4区（地号：F3000058）</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含易燃溶剂的合成树脂、油漆、辅助材料、涂料等制品[闭杯闪点≤60℃]（2828，纤维素漆400t/a、丙烯酸清漆1200t/a、环氧漆固化剂300t/a、不饱和聚酯树脂2000t/a、丙烯酸底漆600t/a、丙烯酸树脂2000t/a、环氧漆稀释剂200t/a、丙烯酸漆稀释剂800t/a、丙烯酸磁漆1000t/a、醇酸树脂1000t/a、7110甲聚氨酯固化剂800t/a、环氧防腐漆1200t/a）（生产场所与注册地址一致）***</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四级</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聚合工艺</w:t>
            </w:r>
          </w:p>
        </w:tc>
        <w:tc>
          <w:tcPr>
            <w:tcW w:w="1476"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苯乙烯</w:t>
            </w:r>
            <w:r>
              <w:rPr>
                <w:rFonts w:hint="eastAsia" w:ascii="仿宋_GB2312" w:hAnsi="仿宋_GB2312" w:eastAsia="仿宋_GB2312" w:cs="仿宋_GB2312"/>
                <w:sz w:val="21"/>
                <w:szCs w:val="21"/>
                <w:lang w:bidi="ar"/>
              </w:rPr>
              <w:t>(109.08t)</w:t>
            </w:r>
            <w:r>
              <w:rPr>
                <w:rFonts w:hint="eastAsia" w:ascii="仿宋_GB2312" w:hAnsi="仿宋_GB2312" w:eastAsia="仿宋_GB2312" w:cs="仿宋_GB2312"/>
                <w:sz w:val="21"/>
                <w:szCs w:val="21"/>
                <w:lang w:val="en-US" w:bidi="ar"/>
              </w:rPr>
              <w:t>、乙酸乙酯</w:t>
            </w:r>
            <w:r>
              <w:rPr>
                <w:rFonts w:hint="eastAsia" w:ascii="仿宋_GB2312" w:hAnsi="仿宋_GB2312" w:eastAsia="仿宋_GB2312" w:cs="仿宋_GB2312"/>
                <w:sz w:val="21"/>
                <w:szCs w:val="21"/>
                <w:lang w:bidi="ar"/>
              </w:rPr>
              <w:t>(51.6t)</w:t>
            </w:r>
            <w:r>
              <w:rPr>
                <w:rFonts w:hint="eastAsia" w:ascii="仿宋_GB2312" w:hAnsi="仿宋_GB2312" w:eastAsia="仿宋_GB2312" w:cs="仿宋_GB2312"/>
                <w:sz w:val="21"/>
                <w:szCs w:val="21"/>
                <w:lang w:val="en-US" w:bidi="ar"/>
              </w:rPr>
              <w:t>、甲苯</w:t>
            </w:r>
            <w:r>
              <w:rPr>
                <w:rFonts w:hint="eastAsia" w:ascii="仿宋_GB2312" w:hAnsi="仿宋_GB2312" w:eastAsia="仿宋_GB2312" w:cs="仿宋_GB2312"/>
                <w:sz w:val="21"/>
                <w:szCs w:val="21"/>
                <w:lang w:bidi="ar"/>
              </w:rPr>
              <w:t>(52.2t)</w:t>
            </w:r>
            <w:r>
              <w:rPr>
                <w:rFonts w:hint="eastAsia" w:ascii="仿宋_GB2312" w:hAnsi="仿宋_GB2312" w:eastAsia="仿宋_GB2312" w:cs="仿宋_GB2312"/>
                <w:sz w:val="21"/>
                <w:szCs w:val="21"/>
                <w:lang w:val="en-US" w:bidi="ar"/>
              </w:rPr>
              <w:t>、丙烯酸</w:t>
            </w:r>
            <w:r>
              <w:rPr>
                <w:rFonts w:hint="eastAsia" w:ascii="仿宋_GB2312" w:hAnsi="仿宋_GB2312" w:eastAsia="仿宋_GB2312" w:cs="仿宋_GB2312"/>
                <w:sz w:val="21"/>
                <w:szCs w:val="21"/>
                <w:lang w:bidi="ar"/>
              </w:rPr>
              <w:t>(15t)</w:t>
            </w:r>
            <w:r>
              <w:rPr>
                <w:rFonts w:hint="eastAsia" w:ascii="仿宋_GB2312" w:hAnsi="仿宋_GB2312" w:eastAsia="仿宋_GB2312" w:cs="仿宋_GB2312"/>
                <w:sz w:val="21"/>
                <w:szCs w:val="21"/>
                <w:lang w:val="en-US" w:bidi="ar"/>
              </w:rPr>
              <w:t>、过氧化苯甲酸叔丁酯</w:t>
            </w:r>
            <w:r>
              <w:rPr>
                <w:rFonts w:hint="eastAsia" w:ascii="仿宋_GB2312" w:hAnsi="仿宋_GB2312" w:eastAsia="仿宋_GB2312" w:cs="仿宋_GB2312"/>
                <w:sz w:val="21"/>
                <w:szCs w:val="21"/>
                <w:lang w:bidi="ar"/>
              </w:rPr>
              <w:t>(3t)</w:t>
            </w:r>
            <w:r>
              <w:rPr>
                <w:rFonts w:hint="eastAsia" w:ascii="仿宋_GB2312" w:hAnsi="仿宋_GB2312" w:eastAsia="仿宋_GB2312" w:cs="仿宋_GB2312"/>
                <w:sz w:val="21"/>
                <w:szCs w:val="21"/>
                <w:lang w:val="en-US" w:bidi="ar"/>
              </w:rPr>
              <w:t>、硝化棉液</w:t>
            </w:r>
            <w:r>
              <w:rPr>
                <w:rFonts w:hint="eastAsia" w:ascii="仿宋_GB2312" w:hAnsi="仿宋_GB2312" w:eastAsia="仿宋_GB2312" w:cs="仿宋_GB2312"/>
                <w:sz w:val="21"/>
                <w:szCs w:val="21"/>
                <w:lang w:bidi="ar"/>
              </w:rPr>
              <w:t>(3t)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5</w:t>
            </w:r>
          </w:p>
        </w:tc>
        <w:tc>
          <w:tcPr>
            <w:tcW w:w="1559"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清远骑士涂料有限公司</w:t>
            </w:r>
          </w:p>
        </w:tc>
        <w:tc>
          <w:tcPr>
            <w:tcW w:w="2127"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清城区飞来峡镇银英公路原取土场北料与升平交界处</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含易燃溶剂的合成树脂、油漆、辅助材料、涂料等制品[闭杯闪点≤60℃]（2828，硝基漆稀释剂195t/a、丙烯酸漆稀释剂123t/a、硝基清漆101t/a、丙烯酸清漆426t/a、丙烯酸类固化剂115t/a）（生产场所与注册地址一致）***</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乙酸乙酯</w:t>
            </w:r>
            <w:r>
              <w:rPr>
                <w:rFonts w:hint="eastAsia" w:ascii="仿宋_GB2312" w:hAnsi="仿宋_GB2312" w:eastAsia="仿宋_GB2312" w:cs="仿宋_GB2312"/>
                <w:sz w:val="21"/>
                <w:szCs w:val="21"/>
                <w:lang w:bidi="ar"/>
              </w:rPr>
              <w:t>(1t)</w:t>
            </w:r>
            <w:r>
              <w:rPr>
                <w:rFonts w:hint="eastAsia" w:ascii="仿宋_GB2312" w:hAnsi="仿宋_GB2312" w:eastAsia="仿宋_GB2312" w:cs="仿宋_GB2312"/>
                <w:sz w:val="21"/>
                <w:szCs w:val="21"/>
                <w:lang w:val="en-US" w:bidi="ar"/>
              </w:rPr>
              <w:t>、甲苯</w:t>
            </w:r>
            <w:r>
              <w:rPr>
                <w:rFonts w:hint="eastAsia" w:ascii="仿宋_GB2312" w:hAnsi="仿宋_GB2312" w:eastAsia="仿宋_GB2312" w:cs="仿宋_GB2312"/>
                <w:sz w:val="21"/>
                <w:szCs w:val="21"/>
                <w:lang w:bidi="ar"/>
              </w:rPr>
              <w:t>(5t)</w:t>
            </w:r>
            <w:r>
              <w:rPr>
                <w:rFonts w:hint="eastAsia" w:ascii="仿宋_GB2312" w:hAnsi="仿宋_GB2312" w:eastAsia="仿宋_GB2312" w:cs="仿宋_GB2312"/>
                <w:sz w:val="21"/>
                <w:szCs w:val="21"/>
                <w:lang w:val="en-US" w:bidi="ar"/>
              </w:rPr>
              <w:t>、甲醇</w:t>
            </w:r>
            <w:r>
              <w:rPr>
                <w:rFonts w:hint="eastAsia" w:ascii="仿宋_GB2312" w:hAnsi="仿宋_GB2312" w:eastAsia="仿宋_GB2312" w:cs="仿宋_GB2312"/>
                <w:sz w:val="21"/>
                <w:szCs w:val="21"/>
                <w:lang w:bidi="ar"/>
              </w:rPr>
              <w:t>(1t)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甲醇</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6</w:t>
            </w:r>
          </w:p>
        </w:tc>
        <w:tc>
          <w:tcPr>
            <w:tcW w:w="1559"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清远永昌涂料有限公司</w:t>
            </w:r>
          </w:p>
        </w:tc>
        <w:tc>
          <w:tcPr>
            <w:tcW w:w="2127"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清远高新技术产业开发区银盏工业园嘉福工业区E区</w:t>
            </w:r>
          </w:p>
        </w:tc>
        <w:tc>
          <w:tcPr>
            <w:tcW w:w="4270"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不饱和聚酯树脂（33645）、丙烯酸烘漆（33646）***</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苯乙烯(15t)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7</w:t>
            </w:r>
          </w:p>
        </w:tc>
        <w:tc>
          <w:tcPr>
            <w:tcW w:w="1559"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清远市锐通气体有限公司</w:t>
            </w:r>
          </w:p>
        </w:tc>
        <w:tc>
          <w:tcPr>
            <w:tcW w:w="2127"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清远市龙塘镇S253线公路旁长丰工业区</w:t>
            </w:r>
          </w:p>
        </w:tc>
        <w:tc>
          <w:tcPr>
            <w:tcW w:w="4270"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乙炔（2629，1125t/a）***</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工业气体</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四级</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乙炔(1125t)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8</w:t>
            </w:r>
          </w:p>
        </w:tc>
        <w:tc>
          <w:tcPr>
            <w:tcW w:w="1559"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清远市保鸿涂料有限公司</w:t>
            </w:r>
          </w:p>
        </w:tc>
        <w:tc>
          <w:tcPr>
            <w:tcW w:w="2127"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清远市高新技术产业开发区雄兴工业小区内（标号E3号地块）</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含易燃溶剂的合成树脂、油漆、辅助材料、涂料等制品[闭杯闪点≤60℃]（2828，丙烯酸清漆250t/a、丙烯酸底漆250t/a、丙烯酸漆稀释剂100t/a、固化剂50t/a）***</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苯乙烯</w:t>
            </w:r>
            <w:r>
              <w:rPr>
                <w:rFonts w:hint="eastAsia" w:ascii="仿宋_GB2312" w:hAnsi="仿宋_GB2312" w:eastAsia="仿宋_GB2312" w:cs="仿宋_GB2312"/>
                <w:sz w:val="21"/>
                <w:szCs w:val="21"/>
                <w:lang w:bidi="ar"/>
              </w:rPr>
              <w:t>(2t)</w:t>
            </w:r>
            <w:r>
              <w:rPr>
                <w:rFonts w:hint="eastAsia" w:ascii="仿宋_GB2312" w:hAnsi="仿宋_GB2312" w:eastAsia="仿宋_GB2312" w:cs="仿宋_GB2312"/>
                <w:sz w:val="21"/>
                <w:szCs w:val="21"/>
                <w:lang w:val="en-US" w:bidi="ar"/>
              </w:rPr>
              <w:t>、乙酸乙酯</w:t>
            </w:r>
            <w:r>
              <w:rPr>
                <w:rFonts w:hint="eastAsia" w:ascii="仿宋_GB2312" w:hAnsi="仿宋_GB2312" w:eastAsia="仿宋_GB2312" w:cs="仿宋_GB2312"/>
                <w:sz w:val="21"/>
                <w:szCs w:val="21"/>
                <w:lang w:bidi="ar"/>
              </w:rPr>
              <w:t>(5t)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9</w:t>
            </w:r>
          </w:p>
        </w:tc>
        <w:tc>
          <w:tcPr>
            <w:tcW w:w="1559"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清远市番亿聚氨酯有限公司</w:t>
            </w:r>
          </w:p>
        </w:tc>
        <w:tc>
          <w:tcPr>
            <w:tcW w:w="2127"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清远市高新技术产业开发区雄兴工业区B区B7地块</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含易燃溶剂的合成树脂、油漆、辅助材料、涂料等制品[闭杯闪点≤60℃]（2828，聚氨酯树脂涂料50000t/a）（生产场所与注册地址一致）***</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甲基苯(50t)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0</w:t>
            </w:r>
          </w:p>
        </w:tc>
        <w:tc>
          <w:tcPr>
            <w:tcW w:w="1559"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清远市浩宇化工科技有限公司</w:t>
            </w:r>
          </w:p>
        </w:tc>
        <w:tc>
          <w:tcPr>
            <w:tcW w:w="2127"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清远市清城区龙塘镇长丰工业小区内（省道253线至269线段道路旁）</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含易燃溶剂的合成树脂、油漆、辅助材料、涂料等制品[闭杯闪点≤60℃]（2828，丙烯酸磁漆180t/a、丙烯酸清漆180t/a、丙烯酸漆稀释剂40t/a）（生产场所与注册地址一致）***</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乙酸乙酯(16.2t)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1</w:t>
            </w:r>
          </w:p>
        </w:tc>
        <w:tc>
          <w:tcPr>
            <w:tcW w:w="1559"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清远先导材料有限公司</w:t>
            </w:r>
          </w:p>
        </w:tc>
        <w:tc>
          <w:tcPr>
            <w:tcW w:w="2127"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清远市高新区百嘉工业园27-9号</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碲化镉（178）（200t/a）、硒化镉（2189）（60t/a）、氢（1648）（213.6t/a）***</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稀贵金属及其化合物</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三级</w:t>
            </w:r>
          </w:p>
        </w:tc>
        <w:tc>
          <w:tcPr>
            <w:tcW w:w="1021"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甲醇(25t)、氢气(由管束车供应)</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甲醇</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2</w:t>
            </w:r>
          </w:p>
        </w:tc>
        <w:tc>
          <w:tcPr>
            <w:tcW w:w="1559"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广东先导先进材料股份有限公司</w:t>
            </w:r>
          </w:p>
        </w:tc>
        <w:tc>
          <w:tcPr>
            <w:tcW w:w="2127"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清远市高新区百嘉工业园27-9号B区</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砷</w:t>
            </w:r>
            <w:r>
              <w:rPr>
                <w:rFonts w:hint="eastAsia" w:ascii="仿宋_GB2312" w:hAnsi="仿宋_GB2312" w:eastAsia="仿宋_GB2312" w:cs="仿宋_GB2312"/>
                <w:sz w:val="21"/>
                <w:szCs w:val="21"/>
                <w:lang w:bidi="ar"/>
              </w:rPr>
              <w:t>（1924）（61.5t/a）</w:t>
            </w:r>
            <w:r>
              <w:rPr>
                <w:rFonts w:hint="eastAsia" w:ascii="仿宋_GB2312" w:hAnsi="仿宋_GB2312" w:eastAsia="仿宋_GB2312" w:cs="仿宋_GB2312"/>
                <w:sz w:val="21"/>
                <w:szCs w:val="21"/>
                <w:lang w:val="en-US" w:bidi="ar"/>
              </w:rPr>
              <w:t>、砷化镓</w:t>
            </w:r>
            <w:r>
              <w:rPr>
                <w:rFonts w:hint="eastAsia" w:ascii="仿宋_GB2312" w:hAnsi="仿宋_GB2312" w:eastAsia="仿宋_GB2312" w:cs="仿宋_GB2312"/>
                <w:sz w:val="21"/>
                <w:szCs w:val="21"/>
                <w:lang w:bidi="ar"/>
              </w:rPr>
              <w:t>（1926）（120t/a）</w:t>
            </w:r>
            <w:r>
              <w:rPr>
                <w:rFonts w:hint="eastAsia" w:ascii="仿宋_GB2312" w:hAnsi="仿宋_GB2312" w:eastAsia="仿宋_GB2312" w:cs="仿宋_GB2312"/>
                <w:sz w:val="21"/>
                <w:szCs w:val="21"/>
                <w:lang w:val="en-US" w:bidi="ar"/>
              </w:rPr>
              <w:t>、三氯化砷</w:t>
            </w:r>
            <w:r>
              <w:rPr>
                <w:rFonts w:hint="eastAsia" w:ascii="仿宋_GB2312" w:hAnsi="仿宋_GB2312" w:eastAsia="仿宋_GB2312" w:cs="仿宋_GB2312"/>
                <w:sz w:val="21"/>
                <w:szCs w:val="21"/>
                <w:lang w:bidi="ar"/>
              </w:rPr>
              <w:t>（1847）（145t/a）</w:t>
            </w:r>
            <w:r>
              <w:rPr>
                <w:rFonts w:hint="eastAsia" w:ascii="仿宋_GB2312" w:hAnsi="仿宋_GB2312" w:eastAsia="仿宋_GB2312" w:cs="仿宋_GB2312"/>
                <w:sz w:val="21"/>
                <w:szCs w:val="21"/>
                <w:lang w:val="en-US" w:bidi="ar"/>
              </w:rPr>
              <w:t>、硒化氢</w:t>
            </w:r>
            <w:r>
              <w:rPr>
                <w:rFonts w:hint="eastAsia" w:ascii="仿宋_GB2312" w:hAnsi="仿宋_GB2312" w:eastAsia="仿宋_GB2312" w:cs="仿宋_GB2312"/>
                <w:sz w:val="21"/>
                <w:szCs w:val="21"/>
                <w:lang w:bidi="ar"/>
              </w:rPr>
              <w:t>（2191）（40t/a）</w:t>
            </w:r>
            <w:r>
              <w:rPr>
                <w:rFonts w:hint="eastAsia" w:ascii="仿宋_GB2312" w:hAnsi="仿宋_GB2312" w:eastAsia="仿宋_GB2312" w:cs="仿宋_GB2312"/>
                <w:sz w:val="21"/>
                <w:szCs w:val="21"/>
                <w:lang w:val="en-US" w:bidi="ar"/>
              </w:rPr>
              <w:t>、硒化锌</w:t>
            </w:r>
            <w:r>
              <w:rPr>
                <w:rFonts w:hint="eastAsia" w:ascii="仿宋_GB2312" w:hAnsi="仿宋_GB2312" w:eastAsia="仿宋_GB2312" w:cs="仿宋_GB2312"/>
                <w:sz w:val="21"/>
                <w:szCs w:val="21"/>
                <w:lang w:bidi="ar"/>
              </w:rPr>
              <w:t>（2193）（150t/a）***</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稀贵金属及其化合物</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氯化反应</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氢氟酸(0.04t)、甲醇(0.85t)、氢(管束车提供)、氯(2t)、氯酸钠</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甲醇</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3</w:t>
            </w:r>
          </w:p>
        </w:tc>
        <w:tc>
          <w:tcPr>
            <w:tcW w:w="1559"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先导薄膜材料（广东）有限公司</w:t>
            </w:r>
          </w:p>
        </w:tc>
        <w:tc>
          <w:tcPr>
            <w:tcW w:w="2127"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清远市高新区百嘉工业园27-9号清远先导材料有限公司D车间</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碲化镉（178）（200t/a）、硒化镉（2189）（60t/a）（生产场所与注册地址一致）***</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稀贵金属及其化合物</w:t>
            </w:r>
          </w:p>
        </w:tc>
        <w:tc>
          <w:tcPr>
            <w:tcW w:w="889"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5"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4</w:t>
            </w:r>
          </w:p>
        </w:tc>
        <w:tc>
          <w:tcPr>
            <w:tcW w:w="1559"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清远市联升空气液化有限公司</w:t>
            </w:r>
          </w:p>
        </w:tc>
        <w:tc>
          <w:tcPr>
            <w:tcW w:w="2127"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广东省清远市民营科技园内A-1区</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氧[压缩的或液化的]（2528，99100t/a）、氮[压缩的或液化的]（172，217700t/a）、氩[压缩的或液化的]（2505，3950t/a）***</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工业气体</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三级</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5</w:t>
            </w:r>
          </w:p>
        </w:tc>
        <w:tc>
          <w:tcPr>
            <w:tcW w:w="1559"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清远市南星化工有限公司</w:t>
            </w:r>
          </w:p>
        </w:tc>
        <w:tc>
          <w:tcPr>
            <w:tcW w:w="2127" w:type="dxa"/>
            <w:shd w:val="clear" w:color="auto" w:fill="auto"/>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清远市高新技术产业开发区雄兴工业区D区D4地块</w:t>
            </w:r>
          </w:p>
        </w:tc>
        <w:tc>
          <w:tcPr>
            <w:tcW w:w="4270"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含易燃溶剂的合成树脂、油漆、辅助材料、涂料等制品[闭杯闪点≤60℃]（2828，聚氨酯类胶粘剂、7110甲聚氨酯固化剂、醇酸树脂、不饱和聚酯树脂、丙烯酸树脂)***</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四级</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甲基苯</w:t>
            </w:r>
            <w:r>
              <w:rPr>
                <w:rFonts w:hint="eastAsia" w:ascii="仿宋_GB2312" w:hAnsi="仿宋_GB2312" w:eastAsia="仿宋_GB2312" w:cs="仿宋_GB2312"/>
                <w:sz w:val="21"/>
                <w:szCs w:val="21"/>
                <w:lang w:bidi="ar"/>
              </w:rPr>
              <w:t>(261t)</w:t>
            </w:r>
            <w:r>
              <w:rPr>
                <w:rFonts w:hint="eastAsia" w:ascii="仿宋_GB2312" w:hAnsi="仿宋_GB2312" w:eastAsia="仿宋_GB2312" w:cs="仿宋_GB2312"/>
                <w:sz w:val="21"/>
                <w:szCs w:val="21"/>
                <w:lang w:val="en-US" w:bidi="ar"/>
              </w:rPr>
              <w:t>、苯乙烯</w:t>
            </w:r>
            <w:r>
              <w:rPr>
                <w:rFonts w:hint="eastAsia" w:ascii="仿宋_GB2312" w:hAnsi="仿宋_GB2312" w:eastAsia="仿宋_GB2312" w:cs="仿宋_GB2312"/>
                <w:sz w:val="21"/>
                <w:szCs w:val="21"/>
                <w:lang w:bidi="ar"/>
              </w:rPr>
              <w:t>(1.5t)</w:t>
            </w:r>
            <w:r>
              <w:rPr>
                <w:rFonts w:hint="eastAsia" w:ascii="仿宋_GB2312" w:hAnsi="仿宋_GB2312" w:eastAsia="仿宋_GB2312" w:cs="仿宋_GB2312"/>
                <w:sz w:val="21"/>
                <w:szCs w:val="21"/>
                <w:lang w:val="en-US" w:bidi="ar"/>
              </w:rPr>
              <w:t>、乙酸乙酯</w:t>
            </w:r>
            <w:r>
              <w:rPr>
                <w:rFonts w:hint="eastAsia" w:ascii="仿宋_GB2312" w:hAnsi="仿宋_GB2312" w:eastAsia="仿宋_GB2312" w:cs="仿宋_GB2312"/>
                <w:sz w:val="21"/>
                <w:szCs w:val="21"/>
                <w:lang w:bidi="ar"/>
              </w:rPr>
              <w:t>(180t)</w:t>
            </w:r>
            <w:r>
              <w:rPr>
                <w:rFonts w:hint="eastAsia" w:ascii="仿宋_GB2312" w:hAnsi="仿宋_GB2312" w:eastAsia="仿宋_GB2312" w:cs="仿宋_GB2312"/>
                <w:sz w:val="21"/>
                <w:szCs w:val="21"/>
                <w:lang w:val="en-US" w:bidi="ar"/>
              </w:rPr>
              <w:t>、丙烯酸</w:t>
            </w:r>
            <w:r>
              <w:rPr>
                <w:rFonts w:hint="eastAsia" w:ascii="仿宋_GB2312" w:hAnsi="仿宋_GB2312" w:eastAsia="仿宋_GB2312" w:cs="仿宋_GB2312"/>
                <w:sz w:val="21"/>
                <w:szCs w:val="21"/>
                <w:lang w:bidi="ar"/>
              </w:rPr>
              <w:t>(0.5t)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6</w:t>
            </w:r>
          </w:p>
        </w:tc>
        <w:tc>
          <w:tcPr>
            <w:tcW w:w="1559"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清远市实创涂料科技有限公司</w:t>
            </w:r>
          </w:p>
        </w:tc>
        <w:tc>
          <w:tcPr>
            <w:tcW w:w="2127"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清远市源潭镇峡山工业区</w:t>
            </w:r>
          </w:p>
        </w:tc>
        <w:tc>
          <w:tcPr>
            <w:tcW w:w="4270"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含易燃溶剂的合成树脂、油漆、辅助材料、涂料等制品[闭杯闪点≤60℃]（2828，丙烯酸清烘漆2800t/a、丙烯酸磁漆3000t/a、聚酯树脂清漆3500t/a、环氧漆固化剂2000t/a、聚氨酯漆稀释剂1800t/a、硝基底漆2500t/a、硝基腻子3000t/a）（生产场所与注册地址一致）***</w:t>
            </w:r>
          </w:p>
        </w:tc>
        <w:tc>
          <w:tcPr>
            <w:tcW w:w="94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甲苯</w:t>
            </w:r>
            <w:r>
              <w:rPr>
                <w:rFonts w:hint="eastAsia" w:ascii="仿宋_GB2312" w:hAnsi="仿宋_GB2312" w:eastAsia="仿宋_GB2312" w:cs="仿宋_GB2312"/>
                <w:sz w:val="21"/>
                <w:szCs w:val="21"/>
                <w:lang w:bidi="ar"/>
              </w:rPr>
              <w:t>（87t）</w:t>
            </w:r>
            <w:r>
              <w:rPr>
                <w:rFonts w:hint="eastAsia" w:ascii="仿宋_GB2312" w:hAnsi="仿宋_GB2312" w:eastAsia="仿宋_GB2312" w:cs="仿宋_GB2312"/>
                <w:sz w:val="21"/>
                <w:szCs w:val="21"/>
                <w:lang w:val="en-US" w:bidi="ar"/>
              </w:rPr>
              <w:t>、乙酸乙酯</w:t>
            </w:r>
            <w:r>
              <w:rPr>
                <w:rFonts w:hint="eastAsia" w:ascii="仿宋_GB2312" w:hAnsi="仿宋_GB2312" w:eastAsia="仿宋_GB2312" w:cs="仿宋_GB2312"/>
                <w:sz w:val="21"/>
                <w:szCs w:val="21"/>
                <w:lang w:bidi="ar"/>
              </w:rPr>
              <w:t>（90t)</w:t>
            </w:r>
          </w:p>
        </w:tc>
        <w:tc>
          <w:tcPr>
            <w:tcW w:w="1025" w:type="dxa"/>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7</w:t>
            </w:r>
          </w:p>
        </w:tc>
        <w:tc>
          <w:tcPr>
            <w:tcW w:w="1559" w:type="dxa"/>
            <w:shd w:val="clear" w:color="auto" w:fill="FFFFFF"/>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立邦涂料（清远）有限公司</w:t>
            </w:r>
          </w:p>
        </w:tc>
        <w:tc>
          <w:tcPr>
            <w:tcW w:w="2127"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广州（清远）产业转移工业园广州路1号</w:t>
            </w:r>
          </w:p>
        </w:tc>
        <w:tc>
          <w:tcPr>
            <w:tcW w:w="4270" w:type="dxa"/>
            <w:tcMar>
              <w:top w:w="15" w:type="dxa"/>
              <w:left w:w="15" w:type="dxa"/>
              <w:right w:w="15" w:type="dxa"/>
            </w:tcMar>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醇酸树脂涂料、环氧树脂涂料、丙烯酸酯类树脂涂料、环氧漆固化剂、涂料用稀释剂、聚酯树脂涂料、聚氨酯树脂涂料、硝基涂料环氧腻子、烯类树脂涂料、聚氨酯树脂、水性涂料、腻子粉</w:t>
            </w:r>
          </w:p>
        </w:tc>
        <w:tc>
          <w:tcPr>
            <w:tcW w:w="945"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p>
        </w:tc>
        <w:tc>
          <w:tcPr>
            <w:tcW w:w="889"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025"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0" w:type="dxa"/>
            <w:bottom w:w="0" w:type="dxa"/>
            <w:right w:w="0" w:type="dxa"/>
          </w:tblCellMar>
        </w:tblPrEx>
        <w:trPr>
          <w:trHeight w:val="340" w:hRule="atLeast"/>
          <w:jc w:val="center"/>
        </w:trPr>
        <w:tc>
          <w:tcPr>
            <w:tcW w:w="729" w:type="dxa"/>
            <w:shd w:val="clear" w:color="auto" w:fill="auto"/>
            <w:tcMar>
              <w:top w:w="15" w:type="dxa"/>
              <w:left w:w="15" w:type="dxa"/>
              <w:right w:w="15" w:type="dxa"/>
            </w:tcMar>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eastAsia="zh-CN" w:bidi="ar"/>
              </w:rPr>
              <w:t>18</w:t>
            </w:r>
          </w:p>
        </w:tc>
        <w:tc>
          <w:tcPr>
            <w:tcW w:w="1559" w:type="dxa"/>
            <w:shd w:val="clear" w:color="auto" w:fill="FFFFFF"/>
            <w:tcMar>
              <w:top w:w="15" w:type="dxa"/>
              <w:left w:w="15" w:type="dxa"/>
              <w:right w:w="15" w:type="dxa"/>
            </w:tcMar>
            <w:vAlign w:val="center"/>
          </w:tcPr>
          <w:p>
            <w:pPr>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rPr>
              <w:fldChar w:fldCharType="begin"/>
            </w:r>
            <w:r>
              <w:rPr>
                <w:rFonts w:hint="eastAsia" w:ascii="仿宋_GB2312" w:hAnsi="仿宋_GB2312" w:eastAsia="仿宋_GB2312" w:cs="仿宋_GB2312"/>
                <w:sz w:val="21"/>
                <w:szCs w:val="21"/>
              </w:rPr>
              <w:instrText xml:space="preserve"> HYPERLINK "https://www.qixin.com/company/a8635b30-4bc3-4678-a95e-d6374c1a884c" \t "https://www.qixin.com/_blank" \o "点击查看公司详情" </w:instrText>
            </w:r>
            <w:r>
              <w:rPr>
                <w:rFonts w:hint="eastAsia" w:ascii="仿宋_GB2312" w:hAnsi="仿宋_GB2312" w:eastAsia="仿宋_GB2312" w:cs="仿宋_GB2312"/>
                <w:sz w:val="21"/>
                <w:szCs w:val="21"/>
              </w:rPr>
              <w:fldChar w:fldCharType="separate"/>
            </w:r>
            <w:r>
              <w:rPr>
                <w:rFonts w:hint="eastAsia" w:ascii="仿宋_GB2312" w:hAnsi="仿宋_GB2312" w:eastAsia="仿宋_GB2312" w:cs="仿宋_GB2312"/>
                <w:sz w:val="21"/>
                <w:szCs w:val="21"/>
                <w:lang w:bidi="ar"/>
              </w:rPr>
              <w:t>广东先导微电子科技有限公司</w:t>
            </w:r>
            <w:r>
              <w:rPr>
                <w:rFonts w:hint="eastAsia" w:ascii="仿宋_GB2312" w:hAnsi="仿宋_GB2312" w:eastAsia="仿宋_GB2312" w:cs="仿宋_GB2312"/>
                <w:sz w:val="21"/>
                <w:szCs w:val="21"/>
                <w:lang w:bidi="ar"/>
              </w:rPr>
              <w:fldChar w:fldCharType="end"/>
            </w:r>
          </w:p>
        </w:tc>
        <w:tc>
          <w:tcPr>
            <w:tcW w:w="2127" w:type="dxa"/>
            <w:tcMar>
              <w:top w:w="15" w:type="dxa"/>
              <w:left w:w="15" w:type="dxa"/>
              <w:right w:w="15" w:type="dxa"/>
            </w:tcMar>
            <w:vAlign w:val="center"/>
          </w:tcPr>
          <w:p>
            <w:pP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bidi="ar"/>
              </w:rPr>
              <w:t>清远市高新区创兴三路16号A车间</w:t>
            </w:r>
          </w:p>
        </w:tc>
        <w:tc>
          <w:tcPr>
            <w:tcW w:w="4270" w:type="dxa"/>
            <w:tcMar>
              <w:top w:w="15" w:type="dxa"/>
              <w:left w:w="15" w:type="dxa"/>
              <w:right w:w="15" w:type="dxa"/>
            </w:tcMar>
            <w:vAlign w:val="center"/>
          </w:tcPr>
          <w:p>
            <w:pP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bidi="ar"/>
              </w:rPr>
              <w:t>砷(1924)(61.5t/a)、砷化镓(1926)(120t/a)、三氯化砷(1847)(145t/a)、锑粉(2121)(12t/a)、镓(1013)(60t/a)、砷化氢(1927)(30t/a)、磷化氢(1266)(30t/a)、锗烷(2752)(20t/a)***</w:t>
            </w:r>
          </w:p>
        </w:tc>
        <w:tc>
          <w:tcPr>
            <w:tcW w:w="945"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涂料类</w:t>
            </w:r>
          </w:p>
        </w:tc>
        <w:tc>
          <w:tcPr>
            <w:tcW w:w="889"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c>
          <w:tcPr>
            <w:tcW w:w="1021"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c>
          <w:tcPr>
            <w:tcW w:w="1476"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氢(管束车提供)、氯(2t)</w:t>
            </w:r>
          </w:p>
        </w:tc>
        <w:tc>
          <w:tcPr>
            <w:tcW w:w="1025" w:type="dxa"/>
            <w:tcMar>
              <w:top w:w="15" w:type="dxa"/>
              <w:left w:w="15" w:type="dxa"/>
              <w:right w:w="15" w:type="dxa"/>
            </w:tcMar>
            <w:vAlign w:val="center"/>
          </w:tcPr>
          <w:p>
            <w:pPr>
              <w:spacing w:after="0" w:line="240" w:lineRule="auto"/>
              <w:ind w:left="72" w:leftChars="30" w:right="72" w:rightChars="30"/>
              <w:jc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w:t>
            </w:r>
          </w:p>
        </w:tc>
      </w:tr>
    </w:tbl>
    <w:p>
      <w:pPr>
        <w:ind w:firstLine="560" w:firstLineChars="200"/>
        <w:rPr>
          <w:rFonts w:hint="eastAsia" w:cs="Arial"/>
          <w:sz w:val="28"/>
          <w:szCs w:val="28"/>
          <w:lang w:val="en-US"/>
        </w:rPr>
        <w:sectPr>
          <w:pgSz w:w="16838" w:h="11906" w:orient="landscape"/>
          <w:pgMar w:top="1800" w:right="1440" w:bottom="1800" w:left="1440" w:header="851" w:footer="992" w:gutter="0"/>
          <w:pgNumType w:fmt="numberInDash"/>
          <w:cols w:space="720" w:num="1"/>
          <w:docGrid w:type="lines" w:linePitch="312" w:charSpace="0"/>
        </w:sectPr>
      </w:pPr>
    </w:p>
    <w:p>
      <w:pPr>
        <w:pStyle w:val="4"/>
        <w:rPr>
          <w:rFonts w:hint="eastAsia" w:ascii="黑体" w:hAnsi="黑体" w:eastAsia="黑体" w:cs="黑体"/>
          <w:b w:val="0"/>
          <w:bCs/>
          <w:kern w:val="2"/>
          <w:sz w:val="32"/>
          <w:szCs w:val="24"/>
          <w:lang w:val="en-US" w:eastAsia="zh-CN"/>
        </w:rPr>
      </w:pPr>
      <w:bookmarkStart w:id="307" w:name="_Toc13795"/>
      <w:bookmarkStart w:id="308" w:name="_Toc811"/>
      <w:r>
        <w:rPr>
          <w:rFonts w:hint="eastAsia" w:ascii="黑体" w:hAnsi="黑体" w:eastAsia="黑体" w:cs="黑体"/>
          <w:b w:val="0"/>
          <w:bCs/>
          <w:kern w:val="2"/>
          <w:sz w:val="32"/>
          <w:szCs w:val="24"/>
          <w:lang w:val="en-US" w:eastAsia="zh-CN"/>
        </w:rPr>
        <w:t>10.8 清城区危险化学品生产企业应急救援器材配备情况</w:t>
      </w:r>
      <w:bookmarkEnd w:id="307"/>
      <w:bookmarkEnd w:id="308"/>
    </w:p>
    <w:p>
      <w:pPr>
        <w:pStyle w:val="24"/>
        <w:adjustRightInd w:val="0"/>
        <w:spacing w:line="480" w:lineRule="exact"/>
        <w:ind w:firstLine="560"/>
        <w:contextualSpacing/>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清城区辖区内共</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lang w:val="en-US"/>
        </w:rPr>
        <w:t>家危化品生产企业，公司应急预案均已备案，经收集企业应急物资配置情况，具体汇总如</w:t>
      </w:r>
      <w:r>
        <w:rPr>
          <w:rFonts w:hint="eastAsia" w:ascii="仿宋_GB2312" w:hAnsi="仿宋_GB2312" w:eastAsia="仿宋_GB2312" w:cs="仿宋_GB2312"/>
          <w:sz w:val="32"/>
          <w:szCs w:val="32"/>
          <w:lang w:val="en-US" w:eastAsia="zh-CN"/>
        </w:rPr>
        <w:t>表10.8</w:t>
      </w:r>
    </w:p>
    <w:p>
      <w:pPr>
        <w:jc w:val="center"/>
        <w:rPr>
          <w:rFonts w:hint="eastAsia"/>
          <w:lang w:val="en-US"/>
        </w:rPr>
      </w:pPr>
      <w:r>
        <w:rPr>
          <w:rFonts w:hint="eastAsia" w:ascii="黑体" w:hAnsi="黑体" w:eastAsia="黑体" w:cs="黑体"/>
          <w:kern w:val="2"/>
          <w:sz w:val="28"/>
          <w:szCs w:val="28"/>
          <w:lang w:val="en-US"/>
        </w:rPr>
        <w:t>表10.8  清城区危险化学品生产企业应急救援物资情况一览表</w:t>
      </w:r>
    </w:p>
    <w:tbl>
      <w:tblPr>
        <w:tblStyle w:val="12"/>
        <w:tblW w:w="8298" w:type="dxa"/>
        <w:tblInd w:w="0" w:type="dxa"/>
        <w:tblLayout w:type="fixed"/>
        <w:tblCellMar>
          <w:top w:w="0" w:type="dxa"/>
          <w:left w:w="108" w:type="dxa"/>
          <w:bottom w:w="0" w:type="dxa"/>
          <w:right w:w="108" w:type="dxa"/>
        </w:tblCellMar>
      </w:tblPr>
      <w:tblGrid>
        <w:gridCol w:w="665"/>
        <w:gridCol w:w="1264"/>
        <w:gridCol w:w="2582"/>
        <w:gridCol w:w="1419"/>
        <w:gridCol w:w="1179"/>
        <w:gridCol w:w="1189"/>
      </w:tblGrid>
      <w:tr>
        <w:tblPrEx>
          <w:tblCellMar>
            <w:top w:w="0" w:type="dxa"/>
            <w:left w:w="108" w:type="dxa"/>
            <w:bottom w:w="0" w:type="dxa"/>
            <w:right w:w="108" w:type="dxa"/>
          </w:tblCellMar>
        </w:tblPrEx>
        <w:trPr>
          <w:trHeight w:val="467" w:hRule="atLeast"/>
        </w:trPr>
        <w:tc>
          <w:tcPr>
            <w:tcW w:w="665"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序号</w:t>
            </w:r>
          </w:p>
        </w:tc>
        <w:tc>
          <w:tcPr>
            <w:tcW w:w="1264"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企业名称</w:t>
            </w:r>
          </w:p>
        </w:tc>
        <w:tc>
          <w:tcPr>
            <w:tcW w:w="2582"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物资名称</w:t>
            </w:r>
          </w:p>
        </w:tc>
        <w:tc>
          <w:tcPr>
            <w:tcW w:w="141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型号、规格</w:t>
            </w:r>
          </w:p>
        </w:tc>
        <w:tc>
          <w:tcPr>
            <w:tcW w:w="117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数量</w:t>
            </w:r>
          </w:p>
        </w:tc>
        <w:tc>
          <w:tcPr>
            <w:tcW w:w="1189" w:type="dxa"/>
            <w:tcBorders>
              <w:top w:val="single" w:color="000000" w:sz="4" w:space="0"/>
              <w:left w:val="single" w:color="000000" w:sz="4" w:space="0"/>
              <w:bottom w:val="single" w:color="000000" w:sz="4" w:space="0"/>
              <w:right w:val="single" w:color="000000" w:sz="4" w:space="0"/>
            </w:tcBorders>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性能/内容</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清远骑士涂料有限公司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5kg</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36台</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60kg</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10台</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过滤式防毒口罩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地球牌</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20个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安全防护目镜</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10对</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耐酸碱工业手套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南洋牌</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30对</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灭火地毯</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3张</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消防战训服</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江山得力牌</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3套</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消防过滤式自救防毒面具</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XHZLC40</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2</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清远市金丰彩油墨有限公司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推车式泡沫灭火器</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对讲机</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7</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1"/>
                <w:szCs w:val="21"/>
                <w:lang w:val="en-US"/>
              </w:rPr>
              <w:t>3</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清远先导材料有限公司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同胜中袖</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11</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新</w:t>
            </w:r>
            <w:r>
              <w:rPr>
                <w:rStyle w:val="18"/>
                <w:rFonts w:hint="eastAsia" w:ascii="仿宋_GB2312" w:hAnsi="仿宋_GB2312" w:eastAsia="仿宋_GB2312" w:cs="仿宋_GB2312"/>
                <w:color w:val="auto"/>
                <w:sz w:val="21"/>
                <w:szCs w:val="21"/>
                <w:lang w:val="en-US" w:bidi="ar"/>
              </w:rPr>
              <w:t>6002</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11</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4kg</w:t>
            </w:r>
            <w:r>
              <w:rPr>
                <w:rStyle w:val="19"/>
                <w:rFonts w:hint="eastAsia" w:ascii="仿宋_GB2312" w:hAnsi="仿宋_GB2312" w:eastAsia="仿宋_GB2312" w:cs="仿宋_GB2312"/>
                <w:color w:val="auto"/>
                <w:sz w:val="21"/>
                <w:szCs w:val="21"/>
                <w:lang w:val="en-US" w:bidi="ar"/>
              </w:rPr>
              <w:t>手提式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推车式泡沫灭火器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35kg</w:t>
            </w:r>
            <w:r>
              <w:rPr>
                <w:rStyle w:val="16"/>
                <w:rFonts w:hint="eastAsia" w:ascii="仿宋_GB2312" w:hAnsi="仿宋_GB2312" w:eastAsia="仿宋_GB2312" w:cs="仿宋_GB2312"/>
                <w:color w:val="auto"/>
                <w:sz w:val="21"/>
                <w:szCs w:val="21"/>
                <w:lang w:val="en-US" w:bidi="ar"/>
              </w:rPr>
              <w:t>推车式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4</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清远市番亿聚氨酯有限公司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4kg</w:t>
            </w:r>
            <w:r>
              <w:rPr>
                <w:rStyle w:val="19"/>
                <w:rFonts w:hint="eastAsia" w:ascii="仿宋_GB2312" w:hAnsi="仿宋_GB2312" w:eastAsia="仿宋_GB2312" w:cs="仿宋_GB2312"/>
                <w:color w:val="auto"/>
                <w:sz w:val="21"/>
                <w:szCs w:val="21"/>
                <w:lang w:val="en-US" w:bidi="ar"/>
              </w:rPr>
              <w:t>手提式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128瓶</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堵漏阀门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空气呼吸器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2kw/</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防毒面具</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r>
              <w:rPr>
                <w:rStyle w:val="19"/>
                <w:rFonts w:hint="eastAsia" w:ascii="仿宋_GB2312" w:hAnsi="仿宋_GB2312" w:eastAsia="仿宋_GB2312" w:cs="仿宋_GB2312"/>
                <w:color w:val="auto"/>
                <w:sz w:val="21"/>
                <w:szCs w:val="21"/>
                <w:lang w:val="en-US" w:bidi="ar"/>
              </w:rPr>
              <w:t>新</w:t>
            </w:r>
            <w:r>
              <w:rPr>
                <w:rStyle w:val="17"/>
                <w:rFonts w:hint="eastAsia" w:ascii="仿宋_GB2312" w:hAnsi="仿宋_GB2312" w:eastAsia="仿宋_GB2312" w:cs="仿宋_GB2312"/>
                <w:color w:val="auto"/>
                <w:sz w:val="21"/>
                <w:szCs w:val="21"/>
                <w:lang w:val="en-US" w:bidi="ar"/>
              </w:rPr>
              <w:t>6002</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40个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耐酸碱手套，胶鞋</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2002</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30套</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温湿度计</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0-100</w:t>
            </w:r>
            <w:r>
              <w:rPr>
                <w:rStyle w:val="19"/>
                <w:rFonts w:hint="eastAsia" w:ascii="仿宋_GB2312" w:hAnsi="仿宋_GB2312" w:eastAsia="仿宋_GB2312" w:cs="仿宋_GB2312"/>
                <w:color w:val="auto"/>
                <w:sz w:val="21"/>
                <w:szCs w:val="21"/>
                <w:lang w:val="en-US" w:bidi="ar"/>
              </w:rPr>
              <w:t>度</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r>
              <w:rPr>
                <w:rStyle w:val="19"/>
                <w:rFonts w:hint="eastAsia" w:ascii="仿宋_GB2312" w:hAnsi="仿宋_GB2312" w:eastAsia="仿宋_GB2312" w:cs="仿宋_GB2312"/>
                <w:color w:val="auto"/>
                <w:sz w:val="21"/>
                <w:szCs w:val="21"/>
                <w:lang w:val="en-US" w:bidi="ar"/>
              </w:rPr>
              <w:t>个</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有毒有害气体探测仪</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/KB6000</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w:t>
            </w:r>
            <w:r>
              <w:rPr>
                <w:rStyle w:val="19"/>
                <w:rFonts w:hint="eastAsia" w:ascii="仿宋_GB2312" w:hAnsi="仿宋_GB2312" w:eastAsia="仿宋_GB2312" w:cs="仿宋_GB2312"/>
                <w:color w:val="auto"/>
                <w:sz w:val="21"/>
                <w:szCs w:val="21"/>
                <w:lang w:val="en-US" w:bidi="ar"/>
              </w:rPr>
              <w:t>套</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警戒带</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w:t>
            </w:r>
            <w:r>
              <w:rPr>
                <w:rStyle w:val="19"/>
                <w:rFonts w:hint="eastAsia" w:ascii="仿宋_GB2312" w:hAnsi="仿宋_GB2312" w:eastAsia="仿宋_GB2312" w:cs="仿宋_GB2312"/>
                <w:color w:val="auto"/>
                <w:sz w:val="21"/>
                <w:szCs w:val="21"/>
                <w:lang w:val="en-US" w:bidi="ar"/>
              </w:rPr>
              <w:t>米</w:t>
            </w:r>
            <w:r>
              <w:rPr>
                <w:rStyle w:val="17"/>
                <w:rFonts w:hint="eastAsia" w:ascii="仿宋_GB2312" w:hAnsi="仿宋_GB2312" w:eastAsia="仿宋_GB2312" w:cs="仿宋_GB2312"/>
                <w:color w:val="auto"/>
                <w:sz w:val="21"/>
                <w:szCs w:val="21"/>
                <w:lang w:val="en-US" w:bidi="ar"/>
              </w:rPr>
              <w:t>/</w:t>
            </w:r>
            <w:r>
              <w:rPr>
                <w:rStyle w:val="19"/>
                <w:rFonts w:hint="eastAsia" w:ascii="仿宋_GB2312" w:hAnsi="仿宋_GB2312" w:eastAsia="仿宋_GB2312" w:cs="仿宋_GB2312"/>
                <w:color w:val="auto"/>
                <w:sz w:val="21"/>
                <w:szCs w:val="21"/>
                <w:lang w:val="en-US" w:bidi="ar"/>
              </w:rPr>
              <w:t>卷</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w:t>
            </w:r>
            <w:r>
              <w:rPr>
                <w:rStyle w:val="19"/>
                <w:rFonts w:hint="eastAsia" w:ascii="仿宋_GB2312" w:hAnsi="仿宋_GB2312" w:eastAsia="仿宋_GB2312" w:cs="仿宋_GB2312"/>
                <w:color w:val="auto"/>
                <w:sz w:val="21"/>
                <w:szCs w:val="21"/>
                <w:lang w:val="en-US" w:bidi="ar"/>
              </w:rPr>
              <w:t>卷</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应急手电筒</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r>
              <w:rPr>
                <w:rStyle w:val="19"/>
                <w:rFonts w:hint="eastAsia" w:ascii="仿宋_GB2312" w:hAnsi="仿宋_GB2312" w:eastAsia="仿宋_GB2312" w:cs="仿宋_GB2312"/>
                <w:color w:val="auto"/>
                <w:sz w:val="21"/>
                <w:szCs w:val="21"/>
                <w:lang w:val="en-US" w:bidi="ar"/>
              </w:rPr>
              <w:t>强光</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w:t>
            </w:r>
            <w:r>
              <w:rPr>
                <w:rStyle w:val="19"/>
                <w:rFonts w:hint="eastAsia" w:ascii="仿宋_GB2312" w:hAnsi="仿宋_GB2312" w:eastAsia="仿宋_GB2312" w:cs="仿宋_GB2312"/>
                <w:color w:val="auto"/>
                <w:sz w:val="21"/>
                <w:szCs w:val="21"/>
                <w:lang w:val="en-US" w:bidi="ar"/>
              </w:rPr>
              <w:t>个</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应急照明</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安全带</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w:t>
            </w:r>
            <w:r>
              <w:rPr>
                <w:rStyle w:val="19"/>
                <w:rFonts w:hint="eastAsia" w:ascii="仿宋_GB2312" w:hAnsi="仿宋_GB2312" w:eastAsia="仿宋_GB2312" w:cs="仿宋_GB2312"/>
                <w:color w:val="auto"/>
                <w:sz w:val="21"/>
                <w:szCs w:val="21"/>
                <w:lang w:val="en-US" w:bidi="ar"/>
              </w:rPr>
              <w:t>米</w:t>
            </w:r>
            <w:r>
              <w:rPr>
                <w:rStyle w:val="17"/>
                <w:rFonts w:hint="eastAsia" w:ascii="仿宋_GB2312" w:hAnsi="仿宋_GB2312" w:eastAsia="仿宋_GB2312" w:cs="仿宋_GB2312"/>
                <w:color w:val="auto"/>
                <w:sz w:val="21"/>
                <w:szCs w:val="21"/>
                <w:lang w:val="en-US" w:bidi="ar"/>
              </w:rPr>
              <w:t>1</w:t>
            </w:r>
            <w:r>
              <w:rPr>
                <w:rStyle w:val="19"/>
                <w:rFonts w:hint="eastAsia" w:ascii="仿宋_GB2312" w:hAnsi="仿宋_GB2312" w:eastAsia="仿宋_GB2312" w:cs="仿宋_GB2312"/>
                <w:color w:val="auto"/>
                <w:sz w:val="21"/>
                <w:szCs w:val="21"/>
                <w:lang w:val="en-US" w:bidi="ar"/>
              </w:rPr>
              <w:t>吨</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w:t>
            </w:r>
            <w:r>
              <w:rPr>
                <w:rStyle w:val="19"/>
                <w:rFonts w:hint="eastAsia" w:ascii="仿宋_GB2312" w:hAnsi="仿宋_GB2312" w:eastAsia="仿宋_GB2312" w:cs="仿宋_GB2312"/>
                <w:color w:val="auto"/>
                <w:sz w:val="21"/>
                <w:szCs w:val="21"/>
                <w:lang w:val="en-US" w:bidi="ar"/>
              </w:rPr>
              <w:t>条</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救援绳索</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汽车（货、客）</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15</w:t>
            </w:r>
            <w:r>
              <w:rPr>
                <w:rStyle w:val="19"/>
                <w:rFonts w:hint="eastAsia" w:ascii="仿宋_GB2312" w:hAnsi="仿宋_GB2312" w:eastAsia="仿宋_GB2312" w:cs="仿宋_GB2312"/>
                <w:color w:val="auto"/>
                <w:sz w:val="21"/>
                <w:szCs w:val="21"/>
                <w:lang w:val="en-US" w:bidi="ar"/>
              </w:rPr>
              <w:t>.</w:t>
            </w:r>
            <w:r>
              <w:rPr>
                <w:rStyle w:val="17"/>
                <w:rFonts w:hint="eastAsia" w:ascii="仿宋_GB2312" w:hAnsi="仿宋_GB2312" w:eastAsia="仿宋_GB2312" w:cs="仿宋_GB2312"/>
                <w:color w:val="auto"/>
                <w:sz w:val="21"/>
                <w:szCs w:val="21"/>
                <w:lang w:val="en-US" w:bidi="ar"/>
              </w:rPr>
              <w:t>7</w:t>
            </w:r>
            <w:r>
              <w:rPr>
                <w:rStyle w:val="19"/>
                <w:rFonts w:hint="eastAsia" w:ascii="仿宋_GB2312" w:hAnsi="仿宋_GB2312" w:eastAsia="仿宋_GB2312" w:cs="仿宋_GB2312"/>
                <w:color w:val="auto"/>
                <w:sz w:val="21"/>
                <w:szCs w:val="21"/>
                <w:lang w:val="en-US" w:bidi="ar"/>
              </w:rPr>
              <w:t>.</w:t>
            </w:r>
            <w:r>
              <w:rPr>
                <w:rStyle w:val="17"/>
                <w:rFonts w:hint="eastAsia" w:ascii="仿宋_GB2312" w:hAnsi="仿宋_GB2312" w:eastAsia="仿宋_GB2312" w:cs="仿宋_GB2312"/>
                <w:color w:val="auto"/>
                <w:sz w:val="21"/>
                <w:szCs w:val="21"/>
                <w:lang w:val="en-US" w:bidi="ar"/>
              </w:rPr>
              <w:t>5</w:t>
            </w:r>
            <w:r>
              <w:rPr>
                <w:rStyle w:val="19"/>
                <w:rFonts w:hint="eastAsia" w:ascii="仿宋_GB2312" w:hAnsi="仿宋_GB2312" w:eastAsia="仿宋_GB2312" w:cs="仿宋_GB2312"/>
                <w:color w:val="auto"/>
                <w:sz w:val="21"/>
                <w:szCs w:val="21"/>
                <w:lang w:val="en-US" w:bidi="ar"/>
              </w:rPr>
              <w:t>座</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r>
              <w:rPr>
                <w:rStyle w:val="19"/>
                <w:rFonts w:hint="eastAsia" w:ascii="仿宋_GB2312" w:hAnsi="仿宋_GB2312" w:eastAsia="仿宋_GB2312" w:cs="仿宋_GB2312"/>
                <w:color w:val="auto"/>
                <w:sz w:val="21"/>
                <w:szCs w:val="21"/>
                <w:lang w:val="en-US" w:bidi="ar"/>
              </w:rPr>
              <w:t>台</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交通</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5</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清远市联升空气液化有限公司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对讲机</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防毒面具</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25</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6</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清远市南星化工有限公司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活性炭</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MF/ABC4</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推车式泡沫灭火器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MFT/ABC20</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15</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消防栓</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SS100/65</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对讲机</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BF-35</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25</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通讯</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7</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清远市锐通气体有限公司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MFZL--3</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66</w:t>
            </w:r>
            <w:r>
              <w:rPr>
                <w:rStyle w:val="19"/>
                <w:rFonts w:hint="eastAsia" w:ascii="仿宋_GB2312" w:hAnsi="仿宋_GB2312" w:eastAsia="仿宋_GB2312" w:cs="仿宋_GB2312"/>
                <w:color w:val="auto"/>
                <w:sz w:val="21"/>
                <w:szCs w:val="21"/>
                <w:lang w:val="en-US" w:bidi="ar"/>
              </w:rPr>
              <w:t>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自吸式呼吸器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w:t>
            </w:r>
            <w:r>
              <w:rPr>
                <w:rStyle w:val="19"/>
                <w:rFonts w:hint="eastAsia" w:ascii="仿宋_GB2312" w:hAnsi="仿宋_GB2312" w:eastAsia="仿宋_GB2312" w:cs="仿宋_GB2312"/>
                <w:color w:val="auto"/>
                <w:sz w:val="21"/>
                <w:szCs w:val="21"/>
                <w:lang w:val="en-US" w:bidi="ar"/>
              </w:rPr>
              <w:t>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移动式可燃气体检测仪器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w:t>
            </w:r>
            <w:r>
              <w:rPr>
                <w:rStyle w:val="19"/>
                <w:rFonts w:hint="eastAsia" w:ascii="仿宋_GB2312" w:hAnsi="仿宋_GB2312" w:eastAsia="仿宋_GB2312" w:cs="仿宋_GB2312"/>
                <w:color w:val="auto"/>
                <w:sz w:val="21"/>
                <w:szCs w:val="21"/>
                <w:lang w:val="en-US" w:bidi="ar"/>
              </w:rPr>
              <w:t>套</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防护服</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w:t>
            </w:r>
            <w:r>
              <w:rPr>
                <w:rStyle w:val="19"/>
                <w:rFonts w:hint="eastAsia" w:ascii="仿宋_GB2312" w:hAnsi="仿宋_GB2312" w:eastAsia="仿宋_GB2312" w:cs="仿宋_GB2312"/>
                <w:color w:val="auto"/>
                <w:sz w:val="21"/>
                <w:szCs w:val="21"/>
                <w:lang w:val="en-US" w:bidi="ar"/>
              </w:rPr>
              <w:t>套</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绝缘鞋、绝缘手套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各</w:t>
            </w:r>
            <w:r>
              <w:rPr>
                <w:rStyle w:val="17"/>
                <w:rFonts w:hint="eastAsia" w:ascii="仿宋_GB2312" w:hAnsi="仿宋_GB2312" w:eastAsia="仿宋_GB2312" w:cs="仿宋_GB2312"/>
                <w:color w:val="auto"/>
                <w:sz w:val="21"/>
                <w:szCs w:val="21"/>
                <w:lang w:val="en-US" w:bidi="ar"/>
              </w:rPr>
              <w:t>2</w:t>
            </w:r>
            <w:r>
              <w:rPr>
                <w:rStyle w:val="19"/>
                <w:rFonts w:hint="eastAsia" w:ascii="仿宋_GB2312" w:hAnsi="仿宋_GB2312" w:eastAsia="仿宋_GB2312" w:cs="仿宋_GB2312"/>
                <w:color w:val="auto"/>
                <w:sz w:val="21"/>
                <w:szCs w:val="21"/>
                <w:lang w:val="en-US" w:bidi="ar"/>
              </w:rPr>
              <w:t>对</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清远市长江银龙涂料有限公司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2kg</w:t>
            </w:r>
            <w:r>
              <w:rPr>
                <w:rStyle w:val="19"/>
                <w:rFonts w:hint="eastAsia" w:ascii="仿宋_GB2312" w:hAnsi="仿宋_GB2312" w:eastAsia="仿宋_GB2312" w:cs="仿宋_GB2312"/>
                <w:color w:val="auto"/>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MFZ/ABC2</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14</w:t>
            </w:r>
            <w:r>
              <w:rPr>
                <w:rStyle w:val="19"/>
                <w:rFonts w:hint="eastAsia" w:ascii="仿宋_GB2312" w:hAnsi="仿宋_GB2312" w:eastAsia="仿宋_GB2312" w:cs="仿宋_GB2312"/>
                <w:color w:val="auto"/>
                <w:sz w:val="21"/>
                <w:szCs w:val="21"/>
                <w:lang w:val="en-US" w:bidi="ar"/>
              </w:rPr>
              <w:t>台</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4kg</w:t>
            </w:r>
            <w:r>
              <w:rPr>
                <w:rStyle w:val="19"/>
                <w:rFonts w:hint="eastAsia" w:ascii="仿宋_GB2312" w:hAnsi="仿宋_GB2312" w:eastAsia="仿宋_GB2312" w:cs="仿宋_GB2312"/>
                <w:color w:val="auto"/>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MFZ/ABC4</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38</w:t>
            </w:r>
            <w:r>
              <w:rPr>
                <w:rStyle w:val="19"/>
                <w:rFonts w:hint="eastAsia" w:ascii="仿宋_GB2312" w:hAnsi="仿宋_GB2312" w:eastAsia="仿宋_GB2312" w:cs="仿宋_GB2312"/>
                <w:color w:val="auto"/>
                <w:sz w:val="21"/>
                <w:szCs w:val="21"/>
                <w:lang w:val="en-US" w:bidi="ar"/>
              </w:rPr>
              <w:t>台</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35kg</w:t>
            </w:r>
            <w:r>
              <w:rPr>
                <w:rStyle w:val="19"/>
                <w:rFonts w:hint="eastAsia" w:ascii="仿宋_GB2312" w:hAnsi="仿宋_GB2312" w:eastAsia="仿宋_GB2312" w:cs="仿宋_GB2312"/>
                <w:color w:val="auto"/>
                <w:sz w:val="21"/>
                <w:szCs w:val="21"/>
                <w:lang w:val="en-US" w:bidi="ar"/>
              </w:rPr>
              <w:t>推车式干粉灭火器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MFTZ/ABC35</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12</w:t>
            </w:r>
            <w:r>
              <w:rPr>
                <w:rStyle w:val="19"/>
                <w:rFonts w:hint="eastAsia" w:ascii="仿宋_GB2312" w:hAnsi="仿宋_GB2312" w:eastAsia="仿宋_GB2312" w:cs="仿宋_GB2312"/>
                <w:color w:val="auto"/>
                <w:sz w:val="21"/>
                <w:szCs w:val="21"/>
                <w:lang w:val="en-US" w:bidi="ar"/>
              </w:rPr>
              <w:t>台</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9</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先导薄膜材料（广东）有限公司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对讲机</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通讯</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MF/ABC4</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MF/ABC20</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正压式空气呼吸器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CRPIII-144-6.8-30-T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防酸服</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0</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清远永昌涂料有限公司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手电筒</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应急照明</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130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推车式泡沫灭火器</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1</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清远雅克化工有限公司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230具</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消防桶</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消防锹</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10个</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抢险装备</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1套</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2</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立邦涂料（清远）有限公司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手电筒</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应急照明</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正压空气呼吸机</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化学防护服</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过滤式防毒面具</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气体浓度检测仪</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MF/ABC3</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MF/ABC3</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MF/ABC3</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58</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MF/ABC4</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14</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MF/ABC4</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MF/ABC6</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28</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MF/ABC6</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44</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MF/ABC6</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手提式干粉灭火器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MF/ABC8</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手提式二氧化碳灭火器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MT5</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手提式二氧化碳灭火器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MT7</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手提式二氧化碳灭火器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MT5</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对讲机</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通讯</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13</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清远市浩宇化工科技有限公司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防毒面罩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空气呼吸器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劳保鞋和手套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活动扳手</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8把</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工具</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手锤</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8把</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工具</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克丝钳</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8把</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工具</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铁丝</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50m</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工具</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铁箍</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4个</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工具</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密封用带</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10盘</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工具</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电动工具</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若干</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工具</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4</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清远市保鸿涂料有限公司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空气呼吸器</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RHZK系列正压式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2套</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消防战斗服</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10套</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消防安全绳</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30米/条</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2条</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安全头盔</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10顶</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灭火毯</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1张</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消防斧</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（大斧1把、小斧2把）</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3把</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毛巾</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1000条</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担架</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1副</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训练服</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十套</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消防水鞋</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十双</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腰带、安全钩</w:t>
            </w:r>
          </w:p>
        </w:tc>
        <w:tc>
          <w:tcPr>
            <w:tcW w:w="1419" w:type="dxa"/>
            <w:tcBorders>
              <w:top w:val="single" w:color="000000" w:sz="4" w:space="0"/>
              <w:left w:val="single" w:color="000000" w:sz="4" w:space="0"/>
              <w:bottom w:val="single" w:color="000000" w:sz="4" w:space="0"/>
              <w:right w:val="single" w:color="000000" w:sz="4" w:space="0"/>
            </w:tcBorders>
          </w:tcPr>
          <w:p>
            <w:pPr>
              <w:jc w:val="center"/>
              <w:textAlignment w:val="top"/>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常规</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十套</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消防头盔</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17顶</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10付</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消防安全腰带</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10根</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消防防护靴</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8双</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防毒面具</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5具</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42具</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bidi="ar"/>
              </w:rPr>
              <w:t>15</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清远市实创涂料科技有限公司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30顶</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安全绳</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10根</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3M7502型</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30只</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防化靴</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2双</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防化服</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2套</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防化全面罩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2副</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对讲机</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6副</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通讯</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MFZ/ABC4型</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248具</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MFZ/ABC5型</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156具</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MFTZ/ABC30型</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36具</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担架</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1副</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手电筒</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防爆型WFL-103</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8具</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应急照明</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警戒带</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10卷</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警戒柱</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10只</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6</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清远市美佳乐环保新材股份有限公司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防爆手电筒</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应急照明</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20</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40</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4KG</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330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推车式泡沫灭火器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35KG</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2</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可燃气体报警仪</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警戒带</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10</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静电检测仪</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设备</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防火服</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18</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7</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广东先导微电子科技有限公司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同胜中袖</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11</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新</w:t>
            </w:r>
            <w:r>
              <w:rPr>
                <w:rStyle w:val="18"/>
                <w:rFonts w:hint="eastAsia" w:ascii="仿宋_GB2312" w:hAnsi="仿宋_GB2312" w:eastAsia="仿宋_GB2312" w:cs="仿宋_GB2312"/>
                <w:color w:val="auto"/>
                <w:sz w:val="21"/>
                <w:szCs w:val="21"/>
                <w:lang w:val="en-US" w:bidi="ar"/>
              </w:rPr>
              <w:t>6002</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11</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4kg手提式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推车式泡沫灭火器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35kg推车式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bidi="ar"/>
              </w:rPr>
              <w:t>18</w:t>
            </w:r>
          </w:p>
        </w:tc>
        <w:tc>
          <w:tcPr>
            <w:tcW w:w="126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广东先导先进材料有限公司</w:t>
            </w: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耐酸手套</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同胜中袖</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11</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防毒口罩</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新</w:t>
            </w:r>
            <w:r>
              <w:rPr>
                <w:rStyle w:val="18"/>
                <w:rFonts w:hint="eastAsia" w:ascii="仿宋_GB2312" w:hAnsi="仿宋_GB2312" w:eastAsia="仿宋_GB2312" w:cs="仿宋_GB2312"/>
                <w:color w:val="auto"/>
                <w:sz w:val="21"/>
                <w:szCs w:val="21"/>
                <w:lang w:val="en-US" w:bidi="ar"/>
              </w:rPr>
              <w:t>6002</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11</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安全帽</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救护</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干粉灭火器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4kg手提式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60</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r>
        <w:tblPrEx>
          <w:tblCellMar>
            <w:top w:w="0" w:type="dxa"/>
            <w:left w:w="108" w:type="dxa"/>
            <w:bottom w:w="0" w:type="dxa"/>
            <w:right w:w="108" w:type="dxa"/>
          </w:tblCellMar>
        </w:tblPrEx>
        <w:trPr>
          <w:trHeight w:val="23" w:hRule="atLeast"/>
        </w:trPr>
        <w:tc>
          <w:tcPr>
            <w:tcW w:w="6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126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1"/>
                <w:szCs w:val="21"/>
              </w:rPr>
            </w:pPr>
          </w:p>
        </w:tc>
        <w:tc>
          <w:tcPr>
            <w:tcW w:w="25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推车式泡沫灭火器</w:t>
            </w:r>
          </w:p>
        </w:tc>
        <w:tc>
          <w:tcPr>
            <w:tcW w:w="14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35kg推车式</w:t>
            </w:r>
          </w:p>
        </w:tc>
        <w:tc>
          <w:tcPr>
            <w:tcW w:w="117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8</w:t>
            </w:r>
          </w:p>
        </w:tc>
        <w:tc>
          <w:tcPr>
            <w:tcW w:w="1189" w:type="dxa"/>
            <w:tcBorders>
              <w:top w:val="single" w:color="000000" w:sz="4" w:space="0"/>
              <w:left w:val="single" w:color="000000" w:sz="4" w:space="0"/>
              <w:bottom w:val="single" w:color="000000" w:sz="4" w:space="0"/>
              <w:right w:val="single" w:color="000000" w:sz="4" w:space="0"/>
            </w:tcBorders>
            <w:noWrap/>
            <w:vAlign w:val="center"/>
          </w:tcPr>
          <w:p>
            <w:pPr>
              <w:jc w:val="center"/>
              <w:textAlignment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bidi="ar"/>
              </w:rPr>
              <w:t>灭火</w:t>
            </w:r>
          </w:p>
        </w:tc>
      </w:tr>
    </w:tbl>
    <w:p>
      <w:pPr>
        <w:ind w:firstLine="560" w:firstLineChars="200"/>
        <w:rPr>
          <w:rFonts w:hint="eastAsia" w:cs="Arial"/>
          <w:sz w:val="28"/>
          <w:szCs w:val="28"/>
          <w:lang w:val="en-US"/>
        </w:rPr>
      </w:pPr>
    </w:p>
    <w:p>
      <w:pPr>
        <w:ind w:firstLine="560" w:firstLineChars="200"/>
        <w:rPr>
          <w:rFonts w:hint="eastAsia" w:cs="Arial"/>
          <w:sz w:val="28"/>
          <w:szCs w:val="28"/>
          <w:lang w:val="en-US"/>
        </w:rPr>
      </w:pPr>
    </w:p>
    <w:p>
      <w:pPr>
        <w:ind w:firstLine="560" w:firstLineChars="200"/>
        <w:rPr>
          <w:rFonts w:hint="eastAsia" w:cs="Arial"/>
          <w:sz w:val="28"/>
          <w:szCs w:val="28"/>
          <w:lang w:val="en-US"/>
        </w:rPr>
        <w:sectPr>
          <w:pgSz w:w="11906" w:h="16838"/>
          <w:pgMar w:top="1440" w:right="1800" w:bottom="1440" w:left="1800" w:header="851" w:footer="992" w:gutter="0"/>
          <w:pgNumType w:fmt="numberInDash"/>
          <w:cols w:space="720" w:num="1"/>
          <w:docGrid w:type="lines" w:linePitch="312" w:charSpace="0"/>
        </w:sectPr>
      </w:pPr>
    </w:p>
    <w:p>
      <w:pPr>
        <w:pStyle w:val="4"/>
        <w:jc w:val="center"/>
        <w:rPr>
          <w:rFonts w:hint="eastAsia" w:ascii="黑体" w:hAnsi="黑体" w:eastAsia="黑体" w:cs="黑体"/>
          <w:b w:val="0"/>
          <w:bCs w:val="0"/>
          <w:kern w:val="2"/>
          <w:sz w:val="32"/>
          <w:szCs w:val="32"/>
          <w:lang w:val="en-US"/>
        </w:rPr>
      </w:pPr>
      <w:bookmarkStart w:id="309" w:name="_Toc25523"/>
      <w:bookmarkStart w:id="310" w:name="_Toc17440"/>
      <w:bookmarkStart w:id="311" w:name="_Toc29084"/>
      <w:r>
        <w:rPr>
          <w:rFonts w:hint="eastAsia" w:ascii="黑体" w:hAnsi="黑体" w:eastAsia="黑体" w:cs="黑体"/>
          <w:b w:val="0"/>
          <w:bCs w:val="0"/>
          <w:kern w:val="2"/>
          <w:sz w:val="32"/>
          <w:szCs w:val="32"/>
          <w:lang w:val="en-US"/>
        </w:rPr>
        <w:t>10.</w:t>
      </w:r>
      <w:r>
        <w:rPr>
          <w:rFonts w:hint="eastAsia" w:ascii="黑体" w:hAnsi="黑体" w:eastAsia="黑体" w:cs="黑体"/>
          <w:b w:val="0"/>
          <w:bCs w:val="0"/>
          <w:kern w:val="2"/>
          <w:sz w:val="32"/>
          <w:szCs w:val="32"/>
          <w:lang w:val="en-US" w:eastAsia="zh-CN"/>
        </w:rPr>
        <w:t xml:space="preserve">9 </w:t>
      </w:r>
      <w:r>
        <w:rPr>
          <w:rFonts w:hint="eastAsia" w:ascii="黑体" w:hAnsi="黑体" w:eastAsia="黑体" w:cs="黑体"/>
          <w:b w:val="0"/>
          <w:bCs w:val="0"/>
          <w:kern w:val="2"/>
          <w:sz w:val="32"/>
          <w:szCs w:val="32"/>
          <w:lang w:val="en-US"/>
        </w:rPr>
        <w:t>清城区危险化学品事故现场指挥部各工作组职责分工一览表</w:t>
      </w:r>
      <w:bookmarkEnd w:id="309"/>
      <w:bookmarkEnd w:id="310"/>
      <w:bookmarkEnd w:id="311"/>
    </w:p>
    <w:p>
      <w:pPr>
        <w:ind w:firstLine="560" w:firstLineChars="200"/>
        <w:rPr>
          <w:rFonts w:hint="eastAsia" w:cs="Arial"/>
          <w:sz w:val="28"/>
          <w:szCs w:val="28"/>
          <w:lang w:val="en-US"/>
        </w:rPr>
      </w:pPr>
    </w:p>
    <w:tbl>
      <w:tblPr>
        <w:tblStyle w:val="12"/>
        <w:tblpPr w:leftFromText="180" w:rightFromText="180" w:vertAnchor="page" w:horzAnchor="margin" w:tblpY="2695"/>
        <w:tblOverlap w:val="never"/>
        <w:tblW w:w="142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203"/>
        <w:gridCol w:w="7058"/>
        <w:gridCol w:w="1957"/>
        <w:gridCol w:w="3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序号</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名称</w:t>
            </w:r>
          </w:p>
        </w:tc>
        <w:tc>
          <w:tcPr>
            <w:tcW w:w="7058"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主要职责</w:t>
            </w:r>
          </w:p>
        </w:tc>
        <w:tc>
          <w:tcPr>
            <w:tcW w:w="195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牵头部门</w:t>
            </w:r>
          </w:p>
        </w:tc>
        <w:tc>
          <w:tcPr>
            <w:tcW w:w="3188"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b/>
                <w:sz w:val="21"/>
                <w:szCs w:val="21"/>
                <w:lang w:val="en-US" w:bidi="ar"/>
              </w:rPr>
            </w:pPr>
            <w:r>
              <w:rPr>
                <w:rFonts w:hint="eastAsia" w:ascii="仿宋_GB2312" w:hAnsi="仿宋_GB2312" w:eastAsia="仿宋_GB2312" w:cs="仿宋_GB2312"/>
                <w:b/>
                <w:sz w:val="21"/>
                <w:szCs w:val="21"/>
                <w:lang w:val="en-US" w:bidi="ar"/>
              </w:rPr>
              <w:t>配合部门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2"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综合协调组</w:t>
            </w:r>
          </w:p>
        </w:tc>
        <w:tc>
          <w:tcPr>
            <w:tcW w:w="705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统筹组织危险化学品事故现场应急救援的综合协调工作；2</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协助现场指挥官做好现场指挥部的开设和撤离工作；3</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负责应急指挥部指令的接收与转发，做好现场指挥部会议管理工作，做好会议记录整理以及对外发布文件的草拟工作；4</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承担现场指挥部的值守工作，收集、汇总现场处置工作情况，编辑应急救援大事记，编制信息简报并上报；5</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负责调配全区危险化学品事故应急力量和资源，向应急指挥部请求应急支援；6</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组织做好现场处置工作的总结评估，提出应急预案修改建议；7</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做好应急救援工作文件、影像资料的搜集、整理、保管和归档等工作。</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区应急管理局</w:t>
            </w:r>
          </w:p>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bidi="ar"/>
              </w:rPr>
              <w:t>区公安分局、区生态环境分局、区交通运输局、</w:t>
            </w:r>
            <w:r>
              <w:rPr>
                <w:rFonts w:hint="eastAsia" w:ascii="仿宋_GB2312" w:hAnsi="仿宋_GB2312" w:eastAsia="仿宋_GB2312" w:cs="仿宋_GB2312"/>
                <w:sz w:val="21"/>
                <w:szCs w:val="21"/>
                <w:lang w:val="en-US" w:eastAsia="zh-CN" w:bidi="ar"/>
              </w:rPr>
              <w:t>各镇（街道）</w:t>
            </w:r>
          </w:p>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2</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技术专家组</w:t>
            </w:r>
          </w:p>
        </w:tc>
        <w:tc>
          <w:tcPr>
            <w:tcW w:w="705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对事故的发展趋势、抢险救援方案、处置办法等提出意见和建议，为应急抢险救援行动的决策、指挥提供技术支持，参与事故调查工作。</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区应急管理局</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区生态环境分局、区水利局、区卫生健康局、事故单位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3</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抢险救 灾组</w:t>
            </w:r>
          </w:p>
        </w:tc>
        <w:tc>
          <w:tcPr>
            <w:tcW w:w="705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实施危险化学品处置、火灾扑救、人员搜救、工程抢险、工程加固和事故现场清理等工作；2</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控制危险源，防止次生、衍生事故发生；3</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为事故调查收集有关资料。</w:t>
            </w:r>
            <w:bookmarkStart w:id="312" w:name="_GoBack"/>
            <w:bookmarkEnd w:id="312"/>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区消防救援大队</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区应急管理局、区交通运输局、区住房建设局、区水利局、</w:t>
            </w:r>
            <w:r>
              <w:rPr>
                <w:rFonts w:hint="eastAsia" w:ascii="仿宋_GB2312" w:hAnsi="仿宋_GB2312" w:eastAsia="仿宋_GB2312" w:cs="仿宋_GB2312"/>
                <w:sz w:val="21"/>
                <w:szCs w:val="21"/>
                <w:lang w:val="en-US" w:eastAsia="zh-CN" w:bidi="ar"/>
              </w:rPr>
              <w:t>各镇（街道）</w:t>
            </w:r>
            <w:r>
              <w:rPr>
                <w:rFonts w:hint="eastAsia" w:ascii="仿宋_GB2312" w:hAnsi="仿宋_GB2312" w:eastAsia="仿宋_GB2312" w:cs="仿宋_GB2312"/>
                <w:sz w:val="21"/>
                <w:szCs w:val="21"/>
                <w:lang w:val="en-US" w:bidi="ar"/>
              </w:rPr>
              <w:t>、专业应急救援队伍、事故单位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4</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治安疏 导组</w:t>
            </w:r>
          </w:p>
        </w:tc>
        <w:tc>
          <w:tcPr>
            <w:tcW w:w="705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做好现场指挥部、抢险救援现场的警戒和交通管控工作；2</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发放各保障组人员和车辆的证件；3</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做好失联（死亡）人员身份核查工作，承担事故中失联人员身份信息的核实和登记工作，对遇难者身份进行鉴定；4</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负责组织受灾群众安全疏散。</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区公安分局</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区交通运输局、</w:t>
            </w:r>
            <w:r>
              <w:rPr>
                <w:rFonts w:hint="eastAsia" w:ascii="仿宋_GB2312" w:hAnsi="仿宋_GB2312" w:eastAsia="仿宋_GB2312" w:cs="仿宋_GB2312"/>
                <w:sz w:val="21"/>
                <w:szCs w:val="21"/>
                <w:lang w:val="en-US" w:eastAsia="zh-CN" w:bidi="ar"/>
              </w:rPr>
              <w:t>各镇（街道）</w:t>
            </w:r>
            <w:r>
              <w:rPr>
                <w:rFonts w:hint="eastAsia" w:ascii="仿宋_GB2312" w:hAnsi="仿宋_GB2312" w:eastAsia="仿宋_GB2312" w:cs="仿宋_GB2312"/>
                <w:sz w:val="21"/>
                <w:szCs w:val="21"/>
                <w:lang w:val="en-US" w:bidi="ar"/>
              </w:rPr>
              <w:t>、事故单位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5</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医疗卫</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生保障</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组</w:t>
            </w:r>
          </w:p>
        </w:tc>
        <w:tc>
          <w:tcPr>
            <w:tcW w:w="7058" w:type="dxa"/>
            <w:vAlign w:val="center"/>
          </w:tcPr>
          <w:p>
            <w:pPr>
              <w:spacing w:after="0" w:line="240" w:lineRule="auto"/>
              <w:ind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调度全区医疗队伍、专家等资源和力量，做好对事故受伤人员的救治和康复工作；2</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设立临时医疗点，为受灾群众、抢险救援人员、集中安置点灾民提供医疗保障服务；3</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做好现场救援区域的防疫消毒；4</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向受伤人员和受灾群众提供心理卫生咨询和帮助。</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区卫生健康局</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eastAsia="zh-CN" w:bidi="ar"/>
              </w:rPr>
              <w:t>各镇（街道）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6</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舆情新</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闻信息</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组</w:t>
            </w:r>
          </w:p>
        </w:tc>
        <w:tc>
          <w:tcPr>
            <w:tcW w:w="705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统筹协调和组织事件舆论引导工作；2</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做好事件舆情搜集、分析和报送工作；3</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做好新闻应对发布和集体采访组织活动；4</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向应急指挥部和事件相关单位通报舆情进展，提出应对建议。</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 xml:space="preserve">区委宣传部 </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bidi="ar"/>
              </w:rPr>
              <w:t>区应急管理局、</w:t>
            </w:r>
            <w:r>
              <w:rPr>
                <w:rFonts w:hint="eastAsia" w:ascii="仿宋_GB2312" w:hAnsi="仿宋_GB2312" w:eastAsia="仿宋_GB2312" w:cs="仿宋_GB2312"/>
                <w:sz w:val="21"/>
                <w:szCs w:val="21"/>
                <w:lang w:val="en-US" w:eastAsia="zh-CN" w:bidi="ar"/>
              </w:rPr>
              <w:t>各镇（街道）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7</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后勤保</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障组</w:t>
            </w:r>
          </w:p>
        </w:tc>
        <w:tc>
          <w:tcPr>
            <w:tcW w:w="7058" w:type="dxa"/>
            <w:vAlign w:val="center"/>
          </w:tcPr>
          <w:p>
            <w:pPr>
              <w:spacing w:after="0" w:line="240" w:lineRule="auto"/>
              <w:ind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根据事故处置工作需求，及时提供资金、物资、装备、食品、 交通、供电、供水、供气和通信等方面的后勤服务和资源保障。</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eastAsia="zh-CN" w:bidi="ar"/>
              </w:rPr>
              <w:t>各镇（街道）</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区财政局、区应急管理局 、区交通运输局、区供电局、区水利局、区住房建设局、区发展改革局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8</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环境气</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象监测</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组</w:t>
            </w:r>
          </w:p>
        </w:tc>
        <w:tc>
          <w:tcPr>
            <w:tcW w:w="705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对涉事区域进行环境监测工作，提出控制污染扩散的建议，防止发生环境污染次生灾害；2</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承担抢险救援现场的气象监测和预报服务保障工作。</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区生态环境分局</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区自然资源局、区水利局、区气象局、清城海事处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9</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调查评</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估组</w:t>
            </w:r>
          </w:p>
        </w:tc>
        <w:tc>
          <w:tcPr>
            <w:tcW w:w="7058" w:type="dxa"/>
            <w:vAlign w:val="center"/>
          </w:tcPr>
          <w:p>
            <w:pPr>
              <w:spacing w:after="0" w:line="240" w:lineRule="auto"/>
              <w:ind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初步核实危险化学品事故的发生经过和原因，总结事故处置工作的经验教训，评估事故损失，制订改进措施。</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区应急管理局</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区总工会、区司法局、区公安分局等部门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trPr>
        <w:tc>
          <w:tcPr>
            <w:tcW w:w="847"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10</w:t>
            </w:r>
          </w:p>
        </w:tc>
        <w:tc>
          <w:tcPr>
            <w:tcW w:w="1203" w:type="dxa"/>
            <w:vAlign w:val="center"/>
          </w:tcPr>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善后工</w:t>
            </w:r>
          </w:p>
          <w:p>
            <w:pPr>
              <w:spacing w:after="0" w:line="240" w:lineRule="auto"/>
              <w:ind w:left="72" w:leftChars="30" w:right="72" w:rightChars="30"/>
              <w:jc w:val="center"/>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作组</w:t>
            </w:r>
          </w:p>
        </w:tc>
        <w:tc>
          <w:tcPr>
            <w:tcW w:w="705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1</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做好善后处置的总协调工作；2</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做好善后抢险救援人员后勤（就餐住宿、会务安排、生活设施、人员安排和资金调配等）保障工作；3</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做好受灾群众、死难（失联）人员亲属信息登记、食宿接待和安抚疏导等善后工作；4</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做好遇难者遗体的保存、处理和殡葬服务等善后工作；5</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做好遇难、受灾人员和受损企业的经济补偿等善后工作；6</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做好社会力量动员和救灾物质等救助组织工作；7</w:t>
            </w:r>
            <w:r>
              <w:rPr>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sz w:val="21"/>
                <w:szCs w:val="21"/>
                <w:lang w:val="en-US" w:bidi="ar"/>
              </w:rPr>
              <w:t>做好灾后恢复重建等工作。</w:t>
            </w:r>
          </w:p>
        </w:tc>
        <w:tc>
          <w:tcPr>
            <w:tcW w:w="1957"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sz w:val="21"/>
                <w:szCs w:val="21"/>
                <w:lang w:val="en-US" w:eastAsia="zh-CN" w:bidi="ar"/>
              </w:rPr>
              <w:t>各镇（街道）</w:t>
            </w:r>
          </w:p>
        </w:tc>
        <w:tc>
          <w:tcPr>
            <w:tcW w:w="3188" w:type="dxa"/>
            <w:vAlign w:val="center"/>
          </w:tcPr>
          <w:p>
            <w:pPr>
              <w:spacing w:after="0" w:line="240" w:lineRule="auto"/>
              <w:ind w:left="72" w:leftChars="30" w:right="72" w:rightChars="30"/>
              <w:jc w:val="both"/>
              <w:textAlignment w:val="center"/>
              <w:rPr>
                <w:rFonts w:hint="eastAsia" w:ascii="仿宋_GB2312" w:hAnsi="仿宋_GB2312" w:eastAsia="仿宋_GB2312" w:cs="仿宋_GB2312"/>
                <w:sz w:val="21"/>
                <w:szCs w:val="21"/>
                <w:lang w:val="en-US" w:bidi="ar"/>
              </w:rPr>
            </w:pPr>
            <w:r>
              <w:rPr>
                <w:rFonts w:hint="eastAsia" w:ascii="仿宋_GB2312" w:hAnsi="仿宋_GB2312" w:eastAsia="仿宋_GB2312" w:cs="仿宋_GB2312"/>
                <w:sz w:val="21"/>
                <w:szCs w:val="21"/>
                <w:lang w:val="en-US" w:bidi="ar"/>
              </w:rPr>
              <w:t>区公安分局、区民政局、区司法局、区应急管理局、区总工会、事故单位</w:t>
            </w:r>
          </w:p>
        </w:tc>
      </w:tr>
    </w:tbl>
    <w:p>
      <w:pPr>
        <w:rPr>
          <w:rFonts w:hint="eastAsia" w:ascii="仿宋_GB2312" w:hAnsi="仿宋_GB2312" w:eastAsia="仿宋_GB2312" w:cs="仿宋_GB2312"/>
          <w:sz w:val="28"/>
          <w:szCs w:val="28"/>
          <w:lang w:val="en-US"/>
        </w:rPr>
      </w:pPr>
    </w:p>
    <w:sectPr>
      <w:pgSz w:w="16838" w:h="11906" w:orient="landscape"/>
      <w:pgMar w:top="1800" w:right="1440" w:bottom="1800" w:left="1440"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书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49885" cy="307975"/>
              <wp:effectExtent l="0" t="3810" r="0" b="2540"/>
              <wp:wrapNone/>
              <wp:docPr id="1" name="文本框 4"/>
              <wp:cNvGraphicFramePr/>
              <a:graphic xmlns:a="http://schemas.openxmlformats.org/drawingml/2006/main">
                <a:graphicData uri="http://schemas.microsoft.com/office/word/2010/wordprocessingShape">
                  <wps:wsp>
                    <wps:cNvSpPr txBox="1">
                      <a:spLocks noChangeArrowheads="1"/>
                    </wps:cNvSpPr>
                    <wps:spPr bwMode="auto">
                      <a:xfrm>
                        <a:off x="0" y="0"/>
                        <a:ext cx="349885" cy="307975"/>
                      </a:xfrm>
                      <a:prstGeom prst="rect">
                        <a:avLst/>
                      </a:prstGeom>
                      <a:noFill/>
                      <a:ln>
                        <a:noFill/>
                      </a:ln>
                    </wps:spPr>
                    <wps:txbx>
                      <w:txbxContent>
                        <w:p>
                          <w:pPr>
                            <w:pStyle w:val="8"/>
                            <w:rPr>
                              <w:rFonts w:hint="eastAsia" w:ascii="宋体" w:hAnsi="宋体" w:cs="宋体"/>
                              <w:sz w:val="22"/>
                              <w:szCs w:val="22"/>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vert="horz" wrap="none" lIns="0" tIns="0" rIns="0" bIns="0" anchor="t" anchorCtr="0" upright="1">
                      <a:spAutoFit/>
                    </wps:bodyPr>
                  </wps:wsp>
                </a:graphicData>
              </a:graphic>
            </wp:anchor>
          </w:drawing>
        </mc:Choice>
        <mc:Fallback>
          <w:pict>
            <v:shape id="文本框 4" o:spid="_x0000_s1026" o:spt="202" type="#_x0000_t202" style="position:absolute;left:0pt;margin-top:0pt;height:24.25pt;width:27.55pt;mso-position-horizontal:outside;mso-position-horizontal-relative:margin;mso-wrap-style:none;z-index:251659264;mso-width-relative:page;mso-height-relative:page;" filled="f" stroked="f" coordsize="21600,21600" o:gfxdata="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rOPC9EAAAADAQAADwAAAAAAAAABACAAAAAiAAAAZHJz&#10;L2Rvd25yZXYueG1sUEsBAhQAFAAAAAgAh07iQD3ppnsLAgAAAgQAAA4AAAAAAAAAAQAgAAAAIAEA&#10;AGRycy9lMm9Eb2MueG1sUEsFBgAAAAAGAAYAWQEAAJ0FAAAAAA==&#10;">
              <v:fill on="f" focussize="0,0"/>
              <v:stroke on="f"/>
              <v:imagedata o:title=""/>
              <o:lock v:ext="edit" aspectratio="f"/>
              <v:textbox inset="0mm,0mm,0mm,0mm" style="mso-fit-shape-to-text:t;">
                <w:txbxContent>
                  <w:p>
                    <w:pPr>
                      <w:pStyle w:val="8"/>
                      <w:rPr>
                        <w:rFonts w:hint="eastAsia" w:ascii="宋体" w:hAnsi="宋体" w:cs="宋体"/>
                        <w:sz w:val="22"/>
                        <w:szCs w:val="22"/>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singleLevel"/>
    <w:tmpl w:val="00000002"/>
    <w:lvl w:ilvl="0" w:tentative="0">
      <w:start w:val="1"/>
      <w:numFmt w:val="decimal"/>
      <w:suff w:val="nothing"/>
      <w:lvlText w:val="（%1）"/>
      <w:lvlJc w:val="left"/>
    </w:lvl>
  </w:abstractNum>
  <w:abstractNum w:abstractNumId="1">
    <w:nsid w:val="00000003"/>
    <w:multiLevelType w:val="singleLevel"/>
    <w:tmpl w:val="00000003"/>
    <w:lvl w:ilvl="0" w:tentative="0">
      <w:start w:val="1"/>
      <w:numFmt w:val="decimal"/>
      <w:suff w:val="nothing"/>
      <w:lvlText w:val="（%1）"/>
      <w:lvlJc w:val="left"/>
    </w:lvl>
  </w:abstractNum>
  <w:abstractNum w:abstractNumId="2">
    <w:nsid w:val="00000004"/>
    <w:multiLevelType w:val="singleLevel"/>
    <w:tmpl w:val="00000004"/>
    <w:lvl w:ilvl="0" w:tentative="0">
      <w:start w:val="1"/>
      <w:numFmt w:val="decimal"/>
      <w:suff w:val="nothing"/>
      <w:lvlText w:val="（%1）"/>
      <w:lvlJc w:val="left"/>
      <w:pPr>
        <w:tabs>
          <w:tab w:val="left" w:pos="0"/>
        </w:tabs>
      </w:pPr>
      <w:rPr>
        <w:rFonts w:hint="default"/>
        <w:color w:val="000000"/>
      </w:rPr>
    </w:lvl>
  </w:abstractNum>
  <w:abstractNum w:abstractNumId="3">
    <w:nsid w:val="0000000F"/>
    <w:multiLevelType w:val="singleLevel"/>
    <w:tmpl w:val="0000000F"/>
    <w:lvl w:ilvl="0" w:tentative="0">
      <w:start w:val="1"/>
      <w:numFmt w:val="decimal"/>
      <w:suff w:val="nothing"/>
      <w:lvlText w:val="（%1）"/>
      <w:lvlJc w:val="left"/>
    </w:lvl>
  </w:abstractNum>
  <w:abstractNum w:abstractNumId="4">
    <w:nsid w:val="00000010"/>
    <w:multiLevelType w:val="singleLevel"/>
    <w:tmpl w:val="00000010"/>
    <w:lvl w:ilvl="0" w:tentative="0">
      <w:start w:val="1"/>
      <w:numFmt w:val="decimal"/>
      <w:suff w:val="nothing"/>
      <w:lvlText w:val="%1."/>
      <w:lvlJc w:val="left"/>
    </w:lvl>
  </w:abstractNum>
  <w:abstractNum w:abstractNumId="5">
    <w:nsid w:val="00000011"/>
    <w:multiLevelType w:val="multilevel"/>
    <w:tmpl w:val="00000011"/>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12"/>
    <w:multiLevelType w:val="singleLevel"/>
    <w:tmpl w:val="00000012"/>
    <w:lvl w:ilvl="0" w:tentative="0">
      <w:start w:val="1"/>
      <w:numFmt w:val="decimal"/>
      <w:suff w:val="nothing"/>
      <w:lvlText w:val="（%1）"/>
      <w:lvlJc w:val="left"/>
    </w:lvl>
  </w:abstractNum>
  <w:abstractNum w:abstractNumId="7">
    <w:nsid w:val="00000013"/>
    <w:multiLevelType w:val="singleLevel"/>
    <w:tmpl w:val="00000013"/>
    <w:lvl w:ilvl="0" w:tentative="0">
      <w:start w:val="1"/>
      <w:numFmt w:val="decimal"/>
      <w:suff w:val="nothing"/>
      <w:lvlText w:val="（%1）"/>
      <w:lvlJc w:val="left"/>
    </w:lvl>
  </w:abstractNum>
  <w:abstractNum w:abstractNumId="8">
    <w:nsid w:val="00000018"/>
    <w:multiLevelType w:val="singleLevel"/>
    <w:tmpl w:val="00000018"/>
    <w:lvl w:ilvl="0" w:tentative="0">
      <w:start w:val="1"/>
      <w:numFmt w:val="decimal"/>
      <w:suff w:val="nothing"/>
      <w:lvlText w:val="（%1）"/>
      <w:lvlJc w:val="left"/>
    </w:lvl>
  </w:abstractNum>
  <w:abstractNum w:abstractNumId="9">
    <w:nsid w:val="00000019"/>
    <w:multiLevelType w:val="singleLevel"/>
    <w:tmpl w:val="00000019"/>
    <w:lvl w:ilvl="0" w:tentative="0">
      <w:start w:val="1"/>
      <w:numFmt w:val="decimal"/>
      <w:suff w:val="nothing"/>
      <w:lvlText w:val="%1."/>
      <w:lvlJc w:val="left"/>
    </w:lvl>
  </w:abstractNum>
  <w:num w:numId="1">
    <w:abstractNumId w:val="0"/>
  </w:num>
  <w:num w:numId="2">
    <w:abstractNumId w:val="6"/>
  </w:num>
  <w:num w:numId="3">
    <w:abstractNumId w:val="2"/>
  </w:num>
  <w:num w:numId="4">
    <w:abstractNumId w:val="8"/>
  </w:num>
  <w:num w:numId="5">
    <w:abstractNumId w:val="5"/>
  </w:num>
  <w:num w:numId="6">
    <w:abstractNumId w:val="1"/>
  </w:num>
  <w:num w:numId="7">
    <w:abstractNumId w:val="7"/>
  </w:num>
  <w:num w:numId="8">
    <w:abstractNumId w:val="3"/>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96657"/>
    <w:rsid w:val="001151C2"/>
    <w:rsid w:val="001B1E9F"/>
    <w:rsid w:val="00392BD5"/>
    <w:rsid w:val="003F1500"/>
    <w:rsid w:val="005716A3"/>
    <w:rsid w:val="005C0328"/>
    <w:rsid w:val="00664F5B"/>
    <w:rsid w:val="0070546D"/>
    <w:rsid w:val="00854D51"/>
    <w:rsid w:val="00903AF9"/>
    <w:rsid w:val="00A27808"/>
    <w:rsid w:val="00AB395B"/>
    <w:rsid w:val="00C03A66"/>
    <w:rsid w:val="00CD226E"/>
    <w:rsid w:val="00E81652"/>
    <w:rsid w:val="00E862E6"/>
    <w:rsid w:val="00F558ED"/>
    <w:rsid w:val="00F975A1"/>
    <w:rsid w:val="02042985"/>
    <w:rsid w:val="041126C7"/>
    <w:rsid w:val="072134F0"/>
    <w:rsid w:val="086B2DF5"/>
    <w:rsid w:val="0A827EDD"/>
    <w:rsid w:val="0ADD2D2B"/>
    <w:rsid w:val="0C4922D2"/>
    <w:rsid w:val="0E696657"/>
    <w:rsid w:val="0F7677CB"/>
    <w:rsid w:val="11132C43"/>
    <w:rsid w:val="111A2CF3"/>
    <w:rsid w:val="12B03193"/>
    <w:rsid w:val="14667AD2"/>
    <w:rsid w:val="18E301B4"/>
    <w:rsid w:val="1A7F633F"/>
    <w:rsid w:val="1AC80779"/>
    <w:rsid w:val="253C4445"/>
    <w:rsid w:val="288706F0"/>
    <w:rsid w:val="2AAC4F8F"/>
    <w:rsid w:val="2B1D4908"/>
    <w:rsid w:val="312421EC"/>
    <w:rsid w:val="37B95874"/>
    <w:rsid w:val="37C55400"/>
    <w:rsid w:val="38DB79B7"/>
    <w:rsid w:val="3F15482B"/>
    <w:rsid w:val="418E55B9"/>
    <w:rsid w:val="4253781E"/>
    <w:rsid w:val="43261D21"/>
    <w:rsid w:val="498503A7"/>
    <w:rsid w:val="4CAF0B55"/>
    <w:rsid w:val="4E9926EB"/>
    <w:rsid w:val="4F864F6F"/>
    <w:rsid w:val="5001392C"/>
    <w:rsid w:val="50AF061C"/>
    <w:rsid w:val="50CD0CF1"/>
    <w:rsid w:val="50E5601D"/>
    <w:rsid w:val="53DD16CD"/>
    <w:rsid w:val="55012C73"/>
    <w:rsid w:val="55D35D5D"/>
    <w:rsid w:val="58442DAA"/>
    <w:rsid w:val="5AF67612"/>
    <w:rsid w:val="5E806200"/>
    <w:rsid w:val="5EDE1A47"/>
    <w:rsid w:val="5F614B58"/>
    <w:rsid w:val="6321792E"/>
    <w:rsid w:val="692B3E21"/>
    <w:rsid w:val="695B3372"/>
    <w:rsid w:val="6A300D51"/>
    <w:rsid w:val="6AB8422B"/>
    <w:rsid w:val="6BCD0D45"/>
    <w:rsid w:val="6DD265EB"/>
    <w:rsid w:val="6DF02BC2"/>
    <w:rsid w:val="71322C9C"/>
    <w:rsid w:val="72824B15"/>
    <w:rsid w:val="77D67213"/>
    <w:rsid w:val="78611AEB"/>
    <w:rsid w:val="788C3D53"/>
    <w:rsid w:val="79851D6D"/>
    <w:rsid w:val="7B207D70"/>
    <w:rsid w:val="7BD760A1"/>
    <w:rsid w:val="C37B11D1"/>
    <w:rsid w:val="E0AAE460"/>
    <w:rsid w:val="EFF79E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200" w:line="276" w:lineRule="auto"/>
    </w:pPr>
    <w:rPr>
      <w:rFonts w:ascii="Calibri" w:hAnsi="Calibri" w:eastAsia="宋体" w:cs="Times New Roman"/>
      <w:sz w:val="24"/>
      <w:szCs w:val="22"/>
      <w:lang w:val="fr-FR" w:eastAsia="zh-CN" w:bidi="ar-SA"/>
    </w:rPr>
  </w:style>
  <w:style w:type="paragraph" w:styleId="3">
    <w:name w:val="heading 1"/>
    <w:basedOn w:val="1"/>
    <w:next w:val="1"/>
    <w:link w:val="26"/>
    <w:qFormat/>
    <w:uiPriority w:val="0"/>
    <w:pPr>
      <w:keepNext/>
      <w:keepLines/>
      <w:spacing w:before="312" w:beforeLines="100" w:after="312" w:afterLines="100" w:line="360" w:lineRule="auto"/>
      <w:jc w:val="center"/>
      <w:outlineLvl w:val="0"/>
    </w:pPr>
    <w:rPr>
      <w:rFonts w:ascii="宋体" w:hAnsi="仿宋"/>
      <w:b/>
      <w:bCs/>
      <w:kern w:val="44"/>
      <w:sz w:val="32"/>
      <w:szCs w:val="44"/>
    </w:rPr>
  </w:style>
  <w:style w:type="paragraph" w:styleId="4">
    <w:name w:val="heading 2"/>
    <w:basedOn w:val="1"/>
    <w:next w:val="1"/>
    <w:qFormat/>
    <w:uiPriority w:val="0"/>
    <w:pPr>
      <w:widowControl w:val="0"/>
      <w:spacing w:after="0" w:line="360" w:lineRule="auto"/>
      <w:outlineLvl w:val="1"/>
    </w:pPr>
    <w:rPr>
      <w:rFonts w:ascii="宋体" w:hAnsi="仿宋"/>
      <w:b/>
      <w:bCs/>
      <w:sz w:val="28"/>
      <w:szCs w:val="32"/>
    </w:rPr>
  </w:style>
  <w:style w:type="paragraph" w:styleId="5">
    <w:name w:val="heading 3"/>
    <w:basedOn w:val="1"/>
    <w:next w:val="1"/>
    <w:qFormat/>
    <w:uiPriority w:val="0"/>
    <w:pPr>
      <w:spacing w:after="0" w:line="360" w:lineRule="auto"/>
      <w:outlineLvl w:val="2"/>
    </w:pPr>
    <w:rPr>
      <w:rFonts w:ascii="宋体" w:hAnsi="仿宋"/>
      <w:b/>
      <w:bCs/>
      <w:sz w:val="28"/>
      <w:szCs w:val="27"/>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hint="eastAsia"/>
      <w:sz w:val="32"/>
    </w:rPr>
  </w:style>
  <w:style w:type="paragraph" w:styleId="6">
    <w:name w:val="annotation text"/>
    <w:basedOn w:val="1"/>
    <w:qFormat/>
    <w:uiPriority w:val="0"/>
  </w:style>
  <w:style w:type="paragraph" w:styleId="7">
    <w:name w:val="Body Text 3"/>
    <w:basedOn w:val="1"/>
    <w:qFormat/>
    <w:uiPriority w:val="0"/>
    <w:pPr>
      <w:spacing w:after="120"/>
    </w:pPr>
    <w:rPr>
      <w:sz w:val="16"/>
      <w:szCs w:val="16"/>
    </w:rPr>
  </w:style>
  <w:style w:type="paragraph" w:styleId="8">
    <w:name w:val="footer"/>
    <w:basedOn w:val="1"/>
    <w:qFormat/>
    <w:uiPriority w:val="0"/>
    <w:pPr>
      <w:tabs>
        <w:tab w:val="center" w:pos="4153"/>
        <w:tab w:val="right" w:pos="8306"/>
      </w:tabs>
      <w:snapToGrid w:val="0"/>
      <w:spacing w:line="240" w:lineRule="auto"/>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10">
    <w:name w:val="toc 1"/>
    <w:basedOn w:val="1"/>
    <w:next w:val="1"/>
    <w:qFormat/>
    <w:uiPriority w:val="0"/>
    <w:pPr>
      <w:spacing w:before="120" w:after="120"/>
    </w:pPr>
    <w:rPr>
      <w:b/>
      <w:bCs/>
      <w:caps/>
      <w:sz w:val="20"/>
      <w:szCs w:val="20"/>
    </w:rPr>
  </w:style>
  <w:style w:type="paragraph" w:styleId="11">
    <w:name w:val="toc 2"/>
    <w:basedOn w:val="1"/>
    <w:next w:val="1"/>
    <w:qFormat/>
    <w:uiPriority w:val="0"/>
    <w:pPr>
      <w:spacing w:after="0"/>
      <w:ind w:left="240"/>
    </w:pPr>
    <w:rPr>
      <w:smallCaps/>
      <w:sz w:val="20"/>
      <w:szCs w:val="20"/>
    </w:rPr>
  </w:style>
  <w:style w:type="character" w:styleId="14">
    <w:name w:val="page number"/>
    <w:basedOn w:val="13"/>
    <w:qFormat/>
    <w:uiPriority w:val="0"/>
  </w:style>
  <w:style w:type="character" w:styleId="15">
    <w:name w:val="Hyperlink"/>
    <w:qFormat/>
    <w:uiPriority w:val="0"/>
    <w:rPr>
      <w:color w:val="030303"/>
      <w:u w:val="none"/>
    </w:rPr>
  </w:style>
  <w:style w:type="character" w:customStyle="1" w:styleId="16">
    <w:name w:val="font31"/>
    <w:basedOn w:val="13"/>
    <w:qFormat/>
    <w:uiPriority w:val="0"/>
    <w:rPr>
      <w:rFonts w:hint="eastAsia" w:ascii="宋体" w:hAnsi="宋体" w:eastAsia="宋体" w:cs="宋体"/>
      <w:color w:val="000000"/>
      <w:sz w:val="22"/>
      <w:szCs w:val="22"/>
      <w:u w:val="none"/>
    </w:rPr>
  </w:style>
  <w:style w:type="character" w:customStyle="1" w:styleId="17">
    <w:name w:val="font21"/>
    <w:basedOn w:val="13"/>
    <w:qFormat/>
    <w:uiPriority w:val="0"/>
    <w:rPr>
      <w:rFonts w:hint="eastAsia" w:ascii="宋体" w:hAnsi="宋体" w:eastAsia="宋体" w:cs="宋体"/>
      <w:color w:val="000000"/>
      <w:sz w:val="22"/>
      <w:szCs w:val="22"/>
      <w:u w:val="none"/>
    </w:rPr>
  </w:style>
  <w:style w:type="character" w:customStyle="1" w:styleId="18">
    <w:name w:val="font41"/>
    <w:basedOn w:val="13"/>
    <w:qFormat/>
    <w:uiPriority w:val="0"/>
    <w:rPr>
      <w:rFonts w:hint="eastAsia" w:ascii="宋体" w:hAnsi="宋体" w:eastAsia="宋体" w:cs="宋体"/>
      <w:color w:val="000000"/>
      <w:sz w:val="22"/>
      <w:szCs w:val="22"/>
      <w:u w:val="none"/>
    </w:rPr>
  </w:style>
  <w:style w:type="character" w:customStyle="1" w:styleId="19">
    <w:name w:val="font01"/>
    <w:basedOn w:val="13"/>
    <w:qFormat/>
    <w:uiPriority w:val="0"/>
    <w:rPr>
      <w:rFonts w:hint="eastAsia" w:ascii="宋体" w:hAnsi="宋体" w:eastAsia="宋体" w:cs="宋体"/>
      <w:color w:val="000000"/>
      <w:sz w:val="22"/>
      <w:szCs w:val="22"/>
      <w:u w:val="none"/>
    </w:rPr>
  </w:style>
  <w:style w:type="character" w:customStyle="1" w:styleId="20">
    <w:name w:val="font51"/>
    <w:basedOn w:val="13"/>
    <w:qFormat/>
    <w:uiPriority w:val="0"/>
    <w:rPr>
      <w:rFonts w:hint="eastAsia" w:ascii="宋体" w:hAnsi="宋体" w:eastAsia="宋体" w:cs="宋体"/>
      <w:color w:val="000000"/>
      <w:sz w:val="22"/>
      <w:szCs w:val="22"/>
      <w:u w:val="none"/>
    </w:rPr>
  </w:style>
  <w:style w:type="paragraph" w:customStyle="1" w:styleId="21">
    <w:name w:val="Body text|2"/>
    <w:basedOn w:val="1"/>
    <w:qFormat/>
    <w:uiPriority w:val="0"/>
    <w:pPr>
      <w:widowControl w:val="0"/>
      <w:spacing w:after="40"/>
      <w:jc w:val="center"/>
    </w:pPr>
    <w:rPr>
      <w:rFonts w:ascii="宋体" w:hAnsi="宋体" w:cs="宋体"/>
      <w:sz w:val="32"/>
      <w:szCs w:val="32"/>
      <w:lang w:val="zh-TW" w:eastAsia="zh-TW" w:bidi="zh-TW"/>
    </w:rPr>
  </w:style>
  <w:style w:type="paragraph" w:customStyle="1" w:styleId="22">
    <w:name w:val="Body text|1"/>
    <w:basedOn w:val="1"/>
    <w:qFormat/>
    <w:uiPriority w:val="0"/>
    <w:pPr>
      <w:widowControl w:val="0"/>
      <w:spacing w:line="401" w:lineRule="auto"/>
      <w:ind w:firstLine="400"/>
    </w:pPr>
    <w:rPr>
      <w:rFonts w:ascii="宋体" w:hAnsi="宋体" w:cs="宋体"/>
      <w:sz w:val="26"/>
      <w:szCs w:val="26"/>
      <w:lang w:val="zh-TW" w:eastAsia="zh-TW" w:bidi="zh-TW"/>
    </w:rPr>
  </w:style>
  <w:style w:type="paragraph" w:customStyle="1" w:styleId="23">
    <w:name w:val=" Char"/>
    <w:basedOn w:val="1"/>
    <w:qFormat/>
    <w:uiPriority w:val="0"/>
    <w:pPr>
      <w:adjustRightInd w:val="0"/>
      <w:spacing w:after="160" w:line="240" w:lineRule="exact"/>
      <w:textAlignment w:val="baseline"/>
    </w:pPr>
  </w:style>
  <w:style w:type="paragraph" w:customStyle="1" w:styleId="24">
    <w:name w:val="列出段落1"/>
    <w:basedOn w:val="1"/>
    <w:qFormat/>
    <w:uiPriority w:val="0"/>
    <w:pPr>
      <w:ind w:firstLine="420" w:firstLineChars="200"/>
    </w:pPr>
    <w:rPr>
      <w:rFonts w:ascii="Times New Roman" w:hAnsi="Times New Roman"/>
      <w:szCs w:val="24"/>
    </w:rPr>
  </w:style>
  <w:style w:type="paragraph" w:customStyle="1" w:styleId="25">
    <w:name w:val="正文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6">
    <w:name w:val="标题 1 Char"/>
    <w:link w:val="3"/>
    <w:qFormat/>
    <w:uiPriority w:val="0"/>
    <w:rPr>
      <w:rFonts w:ascii="宋体" w:hAnsi="仿宋"/>
      <w:b/>
      <w:bCs/>
      <w:kern w:val="44"/>
      <w:sz w:val="32"/>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6000</Words>
  <Characters>34204</Characters>
  <Lines>285</Lines>
  <Paragraphs>80</Paragraphs>
  <TotalTime>53</TotalTime>
  <ScaleCrop>false</ScaleCrop>
  <LinksUpToDate>false</LinksUpToDate>
  <CharactersWithSpaces>40124</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2022-11-23T14:03:00Z</dcterms:created>
  <dc:creator>yjj</dc:creator>
  <cp:lastModifiedBy>林嘉健</cp:lastModifiedBy>
  <cp:lastPrinted>2023-01-13T07:41:05Z</cp:lastPrinted>
  <dcterms:modified xsi:type="dcterms:W3CDTF">2023-01-13T07:42:31Z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y fmtid="{D5CDD505-2E9C-101B-9397-08002B2CF9AE}" pid="3" name="ICV">
    <vt:lpwstr>B9F06DA16E7049D590357B1473BAC0CA</vt:lpwstr>
  </property>
</Properties>
</file>